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rPr>
          <w:rFonts w:ascii="Times New Roman" w:hAnsi="Times New Roman"/>
          <w:sz w:val="24"/>
          <w:szCs w:val="24"/>
        </w:rPr>
      </w:pPr>
      <w:r>
        <w:rPr>
          <w:rFonts w:ascii="Times New Roman" w:hAnsi="Times New Roman"/>
          <w:sz w:val="24"/>
          <w:szCs w:val="24"/>
        </w:rPr>
        <w:t>ROMÂNIA</w:t>
      </w:r>
    </w:p>
    <w:p>
      <w:pPr>
        <w:pStyle w:val="Normal"/>
        <w:spacing w:lineRule="auto" w:line="240"/>
        <w:rPr>
          <w:rFonts w:ascii="Calibri" w:hAnsi="Calibri"/>
          <w:sz w:val="24"/>
          <w:szCs w:val="24"/>
        </w:rPr>
      </w:pPr>
      <w:r>
        <w:rPr>
          <w:rFonts w:ascii="Times New Roman" w:hAnsi="Times New Roman"/>
          <w:sz w:val="24"/>
          <w:szCs w:val="24"/>
        </w:rPr>
        <w:t>JUDEȚUL HARGHITA</w:t>
      </w:r>
    </w:p>
    <w:p>
      <w:pPr>
        <w:pStyle w:val="Normal"/>
        <w:spacing w:lineRule="auto" w:line="240"/>
        <w:rPr>
          <w:rFonts w:ascii="Times New Roman" w:hAnsi="Times New Roman"/>
          <w:sz w:val="24"/>
          <w:szCs w:val="24"/>
        </w:rPr>
      </w:pPr>
      <w:r>
        <w:rPr>
          <w:rFonts w:ascii="Times New Roman" w:hAnsi="Times New Roman"/>
          <w:sz w:val="24"/>
          <w:szCs w:val="24"/>
        </w:rPr>
        <w:t>CONSILIUL JUDEȚEAN</w:t>
      </w:r>
    </w:p>
    <w:p>
      <w:pPr>
        <w:pStyle w:val="Normal"/>
        <w:spacing w:lineRule="auto" w:line="240"/>
        <w:rPr>
          <w:rFonts w:ascii="Times New Roman" w:hAnsi="Times New Roman"/>
          <w:sz w:val="24"/>
          <w:szCs w:val="24"/>
        </w:rPr>
      </w:pPr>
      <w:r>
        <w:rPr>
          <w:rFonts w:ascii="Times New Roman" w:hAnsi="Times New Roman"/>
          <w:sz w:val="24"/>
          <w:szCs w:val="24"/>
        </w:rPr>
      </w:r>
    </w:p>
    <w:p>
      <w:pPr>
        <w:pStyle w:val="Normal"/>
        <w:spacing w:lineRule="auto" w:line="240"/>
        <w:rPr>
          <w:rFonts w:ascii="Times New Roman" w:hAnsi="Times New Roman"/>
          <w:sz w:val="24"/>
          <w:szCs w:val="24"/>
        </w:rPr>
      </w:pPr>
      <w:r>
        <w:rPr>
          <w:rFonts w:ascii="Times New Roman" w:hAnsi="Times New Roman"/>
          <w:sz w:val="24"/>
          <w:szCs w:val="24"/>
        </w:rPr>
      </w:r>
    </w:p>
    <w:p>
      <w:pPr>
        <w:pStyle w:val="NoSpacing"/>
        <w:spacing w:lineRule="auto" w:line="240"/>
        <w:jc w:val="center"/>
        <w:rPr>
          <w:rFonts w:ascii="Times New Roman" w:hAnsi="Times New Roman"/>
          <w:sz w:val="24"/>
          <w:szCs w:val="24"/>
        </w:rPr>
      </w:pPr>
      <w:r>
        <w:rPr>
          <w:rFonts w:ascii="Times New Roman" w:hAnsi="Times New Roman"/>
          <w:sz w:val="24"/>
          <w:szCs w:val="24"/>
        </w:rPr>
      </w:r>
    </w:p>
    <w:p>
      <w:pPr>
        <w:pStyle w:val="NoSpacing"/>
        <w:spacing w:lineRule="auto" w:line="240"/>
        <w:jc w:val="center"/>
        <w:rPr>
          <w:rFonts w:ascii="Times New Roman" w:hAnsi="Times New Roman"/>
          <w:sz w:val="24"/>
          <w:szCs w:val="24"/>
        </w:rPr>
      </w:pPr>
      <w:r>
        <w:rPr>
          <w:rFonts w:ascii="Times New Roman" w:hAnsi="Times New Roman"/>
          <w:b/>
          <w:bCs/>
          <w:sz w:val="24"/>
          <w:szCs w:val="24"/>
        </w:rPr>
        <w:t>HOTĂRÂREA NR.  __________/2020</w:t>
      </w:r>
    </w:p>
    <w:p>
      <w:pPr>
        <w:pStyle w:val="NoSpacing"/>
        <w:spacing w:lineRule="auto" w:line="240"/>
        <w:jc w:val="center"/>
        <w:rPr>
          <w:rFonts w:ascii="Times New Roman" w:hAnsi="Times New Roman"/>
          <w:sz w:val="24"/>
          <w:szCs w:val="24"/>
        </w:rPr>
      </w:pPr>
      <w:r>
        <w:rPr>
          <w:rFonts w:ascii="Times New Roman" w:hAnsi="Times New Roman"/>
          <w:sz w:val="24"/>
          <w:szCs w:val="24"/>
        </w:rPr>
        <w:t>privind aprobarea modificării Hotărârii Consiliului Județean Harghita nr. 322/2015 privind aprobarea înființării ,, Agenției de Dezvoltare Județeană Harghita” respectiv ,,Hargita Megye Fejleszt</w:t>
      </w:r>
      <w:r>
        <w:rPr>
          <w:rFonts w:ascii="Times New Roman" w:hAnsi="Times New Roman"/>
          <w:sz w:val="24"/>
          <w:szCs w:val="24"/>
          <w:lang w:val="hu-HU"/>
        </w:rPr>
        <w:t>ési Ügynöksége</w:t>
      </w:r>
      <w:r>
        <w:rPr>
          <w:rFonts w:ascii="Times New Roman" w:hAnsi="Times New Roman"/>
          <w:sz w:val="24"/>
          <w:szCs w:val="24"/>
        </w:rPr>
        <w:t>” și aprobarea Regulamentului de organizare și funcționare, Statului de funcții și Organigramei acesteia, cu modificările și completările ulterioare</w:t>
      </w:r>
    </w:p>
    <w:p>
      <w:pPr>
        <w:pStyle w:val="NoSpacing"/>
        <w:spacing w:lineRule="auto" w:line="240"/>
        <w:jc w:val="center"/>
        <w:rPr>
          <w:rFonts w:ascii="Times New Roman" w:hAnsi="Times New Roman"/>
          <w:sz w:val="24"/>
          <w:szCs w:val="24"/>
        </w:rPr>
      </w:pPr>
      <w:r>
        <w:rPr>
          <w:rFonts w:ascii="Times New Roman" w:hAnsi="Times New Roman"/>
          <w:sz w:val="24"/>
          <w:szCs w:val="24"/>
        </w:rPr>
      </w:r>
    </w:p>
    <w:p>
      <w:pPr>
        <w:pStyle w:val="NoSpacing"/>
        <w:spacing w:lineRule="auto" w:line="240"/>
        <w:jc w:val="center"/>
        <w:rPr>
          <w:rFonts w:ascii="Times New Roman" w:hAnsi="Times New Roman"/>
          <w:sz w:val="24"/>
          <w:szCs w:val="24"/>
        </w:rPr>
      </w:pPr>
      <w:r>
        <w:rPr>
          <w:rFonts w:ascii="Times New Roman" w:hAnsi="Times New Roman"/>
          <w:sz w:val="24"/>
          <w:szCs w:val="24"/>
        </w:rPr>
      </w:r>
    </w:p>
    <w:p>
      <w:pPr>
        <w:pStyle w:val="NoSpacing"/>
        <w:spacing w:lineRule="auto" w:line="240"/>
        <w:jc w:val="both"/>
        <w:rPr>
          <w:rFonts w:ascii="Times New Roman" w:hAnsi="Times New Roman"/>
          <w:sz w:val="24"/>
          <w:szCs w:val="24"/>
        </w:rPr>
      </w:pPr>
      <w:r>
        <w:rPr>
          <w:rFonts w:ascii="Times New Roman" w:hAnsi="Times New Roman"/>
          <w:sz w:val="24"/>
          <w:szCs w:val="24"/>
        </w:rPr>
        <w:tab/>
        <w:t>Consiliul Județean Harghita,</w:t>
      </w:r>
    </w:p>
    <w:p>
      <w:pPr>
        <w:pStyle w:val="NoSpacing"/>
        <w:spacing w:lineRule="auto" w:line="240"/>
        <w:ind w:left="0" w:right="0" w:hanging="0"/>
        <w:jc w:val="both"/>
        <w:rPr/>
      </w:pPr>
      <w:r>
        <w:rPr>
          <w:rFonts w:ascii="Times New Roman" w:hAnsi="Times New Roman"/>
          <w:sz w:val="24"/>
          <w:szCs w:val="24"/>
        </w:rPr>
        <w:t xml:space="preserve">    </w:t>
      </w:r>
      <w:r>
        <w:rPr>
          <w:rFonts w:ascii="Times New Roman" w:hAnsi="Times New Roman"/>
          <w:sz w:val="24"/>
          <w:szCs w:val="24"/>
        </w:rPr>
        <w:t xml:space="preserve">Având în vedere Referatul de aprobare nr. </w:t>
      </w:r>
      <w:r>
        <w:rPr>
          <w:rFonts w:ascii="Times New Roman" w:hAnsi="Times New Roman"/>
          <w:color w:val="000000"/>
          <w:sz w:val="24"/>
          <w:szCs w:val="24"/>
        </w:rPr>
        <w:t xml:space="preserve">     /1</w:t>
      </w:r>
      <w:r>
        <w:rPr>
          <w:rFonts w:ascii="Times New Roman" w:hAnsi="Times New Roman"/>
          <w:color w:val="000000"/>
          <w:sz w:val="24"/>
          <w:szCs w:val="24"/>
        </w:rPr>
        <w:t>6</w:t>
      </w:r>
      <w:r>
        <w:rPr>
          <w:rFonts w:ascii="Times New Roman" w:hAnsi="Times New Roman"/>
          <w:color w:val="000000"/>
          <w:sz w:val="24"/>
          <w:szCs w:val="24"/>
        </w:rPr>
        <w:t xml:space="preserve">.06.2020 </w:t>
      </w:r>
      <w:r>
        <w:rPr>
          <w:rFonts w:ascii="Times New Roman" w:hAnsi="Times New Roman"/>
          <w:sz w:val="24"/>
          <w:szCs w:val="24"/>
        </w:rPr>
        <w:t xml:space="preserve"> inițiată de către președintele Borboly Csaba la propunerea Agenției de Dezvoltare Județeană Harghita privind aprobarea modificării Anexei nr. 1 al Hotărârii Consiliului Județean Harghita nr. 322/2015 privind aprobarea înființării ,, Agenției de Dezvoltare Județeană Harghita” respectiv ,,Hargita Megye Fejleszt</w:t>
      </w:r>
      <w:r>
        <w:rPr>
          <w:rFonts w:ascii="Times New Roman" w:hAnsi="Times New Roman"/>
          <w:sz w:val="24"/>
          <w:szCs w:val="24"/>
          <w:lang w:val="hu-HU"/>
        </w:rPr>
        <w:t>ési Ügynöksége</w:t>
      </w:r>
      <w:r>
        <w:rPr>
          <w:rFonts w:ascii="Times New Roman" w:hAnsi="Times New Roman"/>
          <w:sz w:val="24"/>
          <w:szCs w:val="24"/>
        </w:rPr>
        <w:t>” și aprobarea Regulamentului de organizare și funcționare, Statului de funcții și Organigramei ale acesteia, cu modificările și completările ulterioare;</w:t>
      </w:r>
    </w:p>
    <w:p>
      <w:pPr>
        <w:pStyle w:val="NoSpacing"/>
        <w:spacing w:lineRule="auto" w:line="240"/>
        <w:ind w:left="0" w:right="0" w:hanging="0"/>
        <w:jc w:val="both"/>
        <w:rPr/>
      </w:pPr>
      <w:r>
        <w:rPr>
          <w:rFonts w:ascii="Times New Roman" w:hAnsi="Times New Roman"/>
          <w:sz w:val="24"/>
          <w:szCs w:val="24"/>
        </w:rPr>
        <w:t xml:space="preserve">  </w:t>
      </w:r>
      <w:r>
        <w:rPr>
          <w:rFonts w:ascii="Times New Roman" w:hAnsi="Times New Roman"/>
          <w:sz w:val="24"/>
          <w:szCs w:val="24"/>
        </w:rPr>
        <w:t xml:space="preserve">Văzând Raportul de specialitate nr............................./2020 al Direcției generale administrație publică locală, Raportul de specialitate nr...............................2020 al Direcției generale economice, </w:t>
      </w:r>
      <w:bookmarkStart w:id="0" w:name="__DdeLink__186_1299683876"/>
      <w:r>
        <w:rPr>
          <w:rFonts w:ascii="Times New Roman" w:hAnsi="Times New Roman"/>
          <w:sz w:val="24"/>
          <w:szCs w:val="24"/>
        </w:rPr>
        <w:t>Raportul de specialitate nr.................../2020 al</w:t>
      </w:r>
      <w:bookmarkEnd w:id="0"/>
      <w:r>
        <w:rPr>
          <w:rFonts w:ascii="Times New Roman" w:hAnsi="Times New Roman"/>
          <w:sz w:val="24"/>
          <w:szCs w:val="24"/>
        </w:rPr>
        <w:t xml:space="preserve"> Direcției generale de management, Avizul favorabil al Comisiei economice, juridice;</w:t>
      </w:r>
    </w:p>
    <w:p>
      <w:pPr>
        <w:pStyle w:val="NoSpacing"/>
        <w:spacing w:lineRule="auto" w:line="240"/>
        <w:ind w:left="0" w:right="0" w:hanging="0"/>
        <w:jc w:val="both"/>
        <w:rPr/>
      </w:pPr>
      <w:r>
        <w:rPr>
          <w:rFonts w:ascii="Times New Roman" w:hAnsi="Times New Roman"/>
          <w:sz w:val="24"/>
          <w:szCs w:val="24"/>
        </w:rPr>
        <w:t xml:space="preserve">      </w:t>
      </w:r>
      <w:r>
        <w:rPr>
          <w:rFonts w:ascii="Times New Roman" w:hAnsi="Times New Roman"/>
          <w:sz w:val="24"/>
          <w:szCs w:val="24"/>
        </w:rPr>
        <w:t xml:space="preserve">În temeiul prevederilor art. 21, alin. (1) din </w:t>
      </w:r>
      <w:r>
        <w:rPr>
          <w:rFonts w:eastAsia="Segoe UI" w:cs="Segoe UI" w:ascii="Times New Roman" w:hAnsi="Times New Roman"/>
          <w:b w:val="false"/>
          <w:bCs w:val="false"/>
          <w:i w:val="false"/>
          <w:iCs w:val="false"/>
          <w:color w:val="000000"/>
          <w:sz w:val="24"/>
          <w:szCs w:val="24"/>
          <w:lang w:val="en-US" w:eastAsia="en-US" w:bidi="ar-SA"/>
        </w:rPr>
        <w:t>Ordonanța nr. 129/2000, privind formarea profesională a adulților republicată, cu modificările și completările ulterioare;</w:t>
      </w:r>
    </w:p>
    <w:p>
      <w:pPr>
        <w:pStyle w:val="NoSpacing"/>
        <w:spacing w:lineRule="auto" w:line="240"/>
        <w:ind w:left="0"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În conformitate cu prevederile Legii nr. 24/2000 privind normele de tehnică legislativă pentru elaborarea actelor normative, republicată, cu modificările și completările ulterioare;</w:t>
      </w:r>
    </w:p>
    <w:p>
      <w:pPr>
        <w:pStyle w:val="NoSpacing"/>
        <w:spacing w:lineRule="auto" w:line="240"/>
        <w:ind w:left="0" w:right="0" w:hanging="0"/>
        <w:jc w:val="both"/>
        <w:rPr>
          <w:rFonts w:ascii="Times New Roman" w:hAnsi="Times New Roman"/>
          <w:sz w:val="24"/>
          <w:szCs w:val="24"/>
        </w:rPr>
      </w:pPr>
      <w:r>
        <w:rPr>
          <w:rFonts w:ascii="Times New Roman" w:hAnsi="Times New Roman"/>
          <w:sz w:val="24"/>
          <w:szCs w:val="24"/>
        </w:rPr>
        <w:t xml:space="preserve">       </w:t>
      </w:r>
      <w:bookmarkStart w:id="1" w:name="__DdeLink__103_509273428"/>
      <w:bookmarkStart w:id="2" w:name="__DdeLink__152_961593209"/>
      <w:bookmarkStart w:id="3" w:name="__DdeLink__149_1998748948"/>
      <w:r>
        <w:rPr>
          <w:rFonts w:ascii="Times New Roman" w:hAnsi="Times New Roman"/>
          <w:sz w:val="24"/>
          <w:szCs w:val="24"/>
        </w:rPr>
        <w:t>În temeiul prevederilor</w:t>
      </w:r>
      <w:bookmarkStart w:id="4" w:name="__DdeLink__194_686543164"/>
      <w:bookmarkStart w:id="5" w:name="__DdeLink__181_128352908"/>
      <w:r>
        <w:rPr>
          <w:rFonts w:ascii="Times New Roman" w:hAnsi="Times New Roman"/>
          <w:sz w:val="24"/>
          <w:szCs w:val="24"/>
        </w:rPr>
        <w:t xml:space="preserve"> art. 173 alin. (1) lit. a), </w:t>
      </w:r>
      <w:bookmarkEnd w:id="1"/>
      <w:bookmarkEnd w:id="2"/>
      <w:bookmarkEnd w:id="3"/>
      <w:bookmarkEnd w:id="4"/>
      <w:bookmarkEnd w:id="5"/>
      <w:r>
        <w:rPr>
          <w:rFonts w:ascii="Times New Roman" w:hAnsi="Times New Roman"/>
          <w:sz w:val="24"/>
          <w:szCs w:val="24"/>
        </w:rPr>
        <w:t>alin. (2), lit. c), art. 196, alin. (1), lit. a) din OUG nr. 57/2019 privind Codul administrativ, cu modificările și completările ulterioare,</w:t>
      </w:r>
    </w:p>
    <w:p>
      <w:pPr>
        <w:pStyle w:val="NoSpacing"/>
        <w:spacing w:lineRule="auto" w:line="240"/>
        <w:ind w:left="0" w:right="0" w:firstLine="708"/>
        <w:jc w:val="both"/>
        <w:rPr>
          <w:rFonts w:ascii="Times New Roman" w:hAnsi="Times New Roman"/>
          <w:sz w:val="24"/>
          <w:szCs w:val="24"/>
        </w:rPr>
      </w:pPr>
      <w:r>
        <w:rPr>
          <w:rFonts w:ascii="Times New Roman" w:hAnsi="Times New Roman"/>
          <w:sz w:val="24"/>
          <w:szCs w:val="24"/>
        </w:rPr>
      </w:r>
    </w:p>
    <w:p>
      <w:pPr>
        <w:pStyle w:val="NoSpacing"/>
        <w:spacing w:lineRule="auto" w:line="240"/>
        <w:ind w:left="0" w:right="0" w:hanging="0"/>
        <w:jc w:val="center"/>
        <w:rPr>
          <w:rFonts w:ascii="Times New Roman" w:hAnsi="Times New Roman"/>
          <w:b/>
          <w:b/>
          <w:sz w:val="24"/>
          <w:szCs w:val="24"/>
        </w:rPr>
      </w:pPr>
      <w:r>
        <w:rPr>
          <w:rFonts w:ascii="Times New Roman" w:hAnsi="Times New Roman"/>
          <w:b/>
          <w:sz w:val="24"/>
          <w:szCs w:val="24"/>
        </w:rPr>
      </w:r>
    </w:p>
    <w:p>
      <w:pPr>
        <w:pStyle w:val="NoSpacing"/>
        <w:spacing w:lineRule="auto" w:line="240"/>
        <w:ind w:left="0" w:right="0" w:hanging="0"/>
        <w:jc w:val="center"/>
        <w:rPr>
          <w:rFonts w:ascii="Times New Roman" w:hAnsi="Times New Roman"/>
          <w:sz w:val="24"/>
          <w:szCs w:val="24"/>
        </w:rPr>
      </w:pPr>
      <w:r>
        <w:rPr>
          <w:rFonts w:ascii="Times New Roman" w:hAnsi="Times New Roman"/>
          <w:b/>
          <w:sz w:val="24"/>
          <w:szCs w:val="24"/>
        </w:rPr>
        <w:t>HOTĂRĂȘTE:</w:t>
      </w:r>
    </w:p>
    <w:p>
      <w:pPr>
        <w:pStyle w:val="NoSpacing"/>
        <w:spacing w:lineRule="auto" w:line="240"/>
        <w:ind w:left="0" w:right="0" w:hanging="0"/>
        <w:jc w:val="center"/>
        <w:rPr>
          <w:rFonts w:ascii="Times New Roman" w:hAnsi="Times New Roman"/>
          <w:b/>
          <w:b/>
          <w:sz w:val="24"/>
          <w:szCs w:val="24"/>
        </w:rPr>
      </w:pPr>
      <w:r>
        <w:rPr>
          <w:rFonts w:ascii="Times New Roman" w:hAnsi="Times New Roman"/>
          <w:b/>
          <w:sz w:val="24"/>
          <w:szCs w:val="24"/>
        </w:rPr>
      </w:r>
    </w:p>
    <w:p>
      <w:pPr>
        <w:pStyle w:val="NoSpacing"/>
        <w:spacing w:lineRule="auto" w:line="240"/>
        <w:ind w:left="0" w:right="0" w:hanging="0"/>
        <w:jc w:val="center"/>
        <w:rPr>
          <w:rFonts w:ascii="Times New Roman" w:hAnsi="Times New Roman"/>
          <w:sz w:val="24"/>
          <w:szCs w:val="24"/>
        </w:rPr>
      </w:pPr>
      <w:r>
        <w:rPr>
          <w:rFonts w:ascii="Times New Roman" w:hAnsi="Times New Roman"/>
          <w:sz w:val="24"/>
          <w:szCs w:val="24"/>
        </w:rPr>
      </w:r>
    </w:p>
    <w:p>
      <w:pPr>
        <w:pStyle w:val="Normal"/>
        <w:spacing w:lineRule="auto" w:line="240" w:before="57" w:after="57"/>
        <w:jc w:val="both"/>
        <w:rPr/>
      </w:pPr>
      <w:r>
        <w:rPr>
          <w:rFonts w:ascii="Times New Roman" w:hAnsi="Times New Roman"/>
          <w:b/>
          <w:sz w:val="24"/>
          <w:szCs w:val="24"/>
        </w:rPr>
        <w:t>Art. I.</w:t>
      </w:r>
      <w:r>
        <w:rPr>
          <w:rFonts w:eastAsia="MS Mincho" w:cs="Times New Roman" w:ascii="Times New Roman" w:hAnsi="Times New Roman"/>
          <w:b w:val="false"/>
          <w:bCs w:val="false"/>
          <w:color w:val="00000A"/>
          <w:sz w:val="24"/>
          <w:szCs w:val="24"/>
        </w:rPr>
        <w:t xml:space="preserve"> Se aprobă modificarea Anexei nr.1 la Hotărârea Consiliului Județean Harghita nr. 322/2015 privind aprobarea  Regulamentului de organizare și funcționare, al Organigramei și al Statului de funcții al </w:t>
      </w:r>
      <w:bookmarkStart w:id="6" w:name="__DdeLink__184_3951619801"/>
      <w:r>
        <w:rPr>
          <w:rFonts w:eastAsia="MS Mincho" w:cs="Times New Roman" w:ascii="Times New Roman" w:hAnsi="Times New Roman"/>
          <w:b w:val="false"/>
          <w:bCs w:val="false"/>
          <w:color w:val="00000A"/>
          <w:sz w:val="24"/>
          <w:szCs w:val="24"/>
        </w:rPr>
        <w:t>Agenției de Dezvoltare Județeană Harghita</w:t>
      </w:r>
      <w:bookmarkEnd w:id="6"/>
      <w:r>
        <w:rPr>
          <w:rFonts w:eastAsia="MS Mincho" w:cs="Times New Roman" w:ascii="Times New Roman" w:hAnsi="Times New Roman"/>
          <w:b w:val="false"/>
          <w:bCs w:val="false"/>
          <w:color w:val="00000A"/>
          <w:sz w:val="24"/>
          <w:szCs w:val="24"/>
        </w:rPr>
        <w:t xml:space="preserve">, cu modificările și completările ulterioare, care face parte integrantă din prezenta hotărâre, după cum urmează: la Art. 4, lit. D, alin. (6) se introduce lit. y, cu următorul cuprins: </w:t>
      </w:r>
      <w:r>
        <w:rPr>
          <w:rFonts w:eastAsia="Segoe UI" w:cs="Segoe UI" w:ascii="Times New Roman" w:hAnsi="Times New Roman"/>
          <w:b w:val="false"/>
          <w:bCs w:val="false"/>
          <w:i w:val="false"/>
          <w:iCs w:val="false"/>
          <w:color w:val="000000"/>
          <w:sz w:val="24"/>
          <w:szCs w:val="24"/>
          <w:lang w:val="en-US" w:eastAsia="en-US" w:bidi="ar-SA"/>
        </w:rPr>
        <w:t>organizare de cursuri de formare profesională a adulților, conform Ordonanței de urgență nr. 129/2000, privind formarea profesională a adulților republicată, cu modificările și completările ulterioare.</w:t>
      </w:r>
    </w:p>
    <w:p>
      <w:pPr>
        <w:pStyle w:val="NoSpacing"/>
        <w:spacing w:lineRule="auto" w:line="240"/>
        <w:jc w:val="both"/>
        <w:rPr>
          <w:rFonts w:ascii="Times New Roman" w:hAnsi="Times New Roman"/>
          <w:sz w:val="24"/>
          <w:szCs w:val="24"/>
        </w:rPr>
      </w:pPr>
      <w:r>
        <w:rPr>
          <w:rFonts w:ascii="Times New Roman" w:hAnsi="Times New Roman"/>
          <w:b/>
          <w:sz w:val="24"/>
          <w:szCs w:val="24"/>
        </w:rPr>
        <w:t>Art.II.</w:t>
      </w:r>
      <w:r>
        <w:rPr>
          <w:rFonts w:ascii="Times New Roman" w:hAnsi="Times New Roman"/>
          <w:sz w:val="24"/>
          <w:szCs w:val="24"/>
        </w:rPr>
        <w:t xml:space="preserve"> Cu aducerea la îndeplinire a prezentei Hotărâri se încredințează președintele Consiliului Județean Harghita, prin Direcția generală management și Agenția de Dezvoltare Județeană Harghita.</w:t>
      </w:r>
    </w:p>
    <w:p>
      <w:pPr>
        <w:pStyle w:val="NoSpacing"/>
        <w:spacing w:lineRule="auto" w:line="240"/>
        <w:jc w:val="both"/>
        <w:rPr>
          <w:rFonts w:ascii="Times New Roman" w:hAnsi="Times New Roman"/>
          <w:sz w:val="24"/>
          <w:szCs w:val="24"/>
        </w:rPr>
      </w:pPr>
      <w:r>
        <w:rPr>
          <w:rFonts w:ascii="Times New Roman" w:hAnsi="Times New Roman"/>
          <w:b/>
          <w:sz w:val="24"/>
          <w:szCs w:val="24"/>
        </w:rPr>
        <w:t>Art.III.</w:t>
      </w:r>
      <w:r>
        <w:rPr>
          <w:rFonts w:ascii="Times New Roman" w:hAnsi="Times New Roman"/>
          <w:sz w:val="24"/>
          <w:szCs w:val="24"/>
        </w:rPr>
        <w:t xml:space="preserve"> Hotărârea se va comunica de către Direcția generală administrație publică locală - Compartimentul Cancelaria Consiliului Judeţean Harghita: președintelui Borboly Csaba, vicepreședintelui Barti Tihamér, vicepreședintelui Biró Barna Botond, Direcţiei generale management, Direcției generale administrație publică locală, Biroului de audit public intern, Compartimentului corp de control, Direcției generale economice, Agenției de Dezvoltare Județeană Harghita, precum şi Instituției Prefectului  Județului Harghita.</w:t>
      </w:r>
    </w:p>
    <w:p>
      <w:pPr>
        <w:pStyle w:val="NoSpacing"/>
        <w:spacing w:lineRule="auto" w:line="240"/>
        <w:jc w:val="both"/>
        <w:rPr/>
      </w:pPr>
      <w:r>
        <w:rPr>
          <w:rFonts w:ascii="Times New Roman" w:hAnsi="Times New Roman"/>
          <w:b/>
          <w:color w:val="00000A"/>
          <w:sz w:val="24"/>
          <w:szCs w:val="24"/>
        </w:rPr>
        <w:t>Art. IV.</w:t>
      </w:r>
      <w:r>
        <w:rPr>
          <w:rFonts w:cs="Arial" w:ascii="Times New Roman" w:hAnsi="Times New Roman"/>
          <w:color w:val="00000A"/>
          <w:sz w:val="24"/>
          <w:szCs w:val="24"/>
        </w:rPr>
        <w:t xml:space="preserve"> (1) Hotărârea va fi afișată la afișierul Consiliului Județean Harghita, se va publica în presă, conform legii, şi pe pagina </w:t>
      </w:r>
      <w:hyperlink r:id="rId2">
        <w:r>
          <w:rPr>
            <w:rStyle w:val="LegturInternet"/>
            <w:rFonts w:cs="Arial" w:ascii="Times New Roman" w:hAnsi="Times New Roman"/>
            <w:color w:val="00000A"/>
            <w:sz w:val="24"/>
            <w:szCs w:val="24"/>
          </w:rPr>
          <w:t>www.judetulharghita.ro</w:t>
        </w:r>
      </w:hyperlink>
      <w:r>
        <w:rPr>
          <w:rFonts w:cs="Arial" w:ascii="Times New Roman" w:hAnsi="Times New Roman"/>
          <w:color w:val="00000A"/>
          <w:sz w:val="24"/>
          <w:szCs w:val="24"/>
        </w:rPr>
        <w:t xml:space="preserve"> a Consiliului Județean Harghita prin grija Compartimentului Cancelaria Consiliului Județean Harghita.</w:t>
      </w:r>
    </w:p>
    <w:p>
      <w:pPr>
        <w:pStyle w:val="NoSpacing"/>
        <w:spacing w:lineRule="auto" w:line="240"/>
        <w:jc w:val="both"/>
        <w:rPr>
          <w:rFonts w:ascii="Times New Roman" w:hAnsi="Times New Roman"/>
          <w:sz w:val="24"/>
          <w:szCs w:val="24"/>
        </w:rPr>
      </w:pPr>
      <w:r>
        <w:rPr>
          <w:rFonts w:cs="Arial" w:ascii="Times New Roman" w:hAnsi="Times New Roman"/>
          <w:color w:val="00000A"/>
          <w:sz w:val="24"/>
          <w:szCs w:val="24"/>
        </w:rPr>
        <w:t>(2) De asemenea hotărârea va fi publicată în Monitorul Oficial al județului Harghita.</w:t>
      </w:r>
    </w:p>
    <w:p>
      <w:pPr>
        <w:pStyle w:val="NoSpacing"/>
        <w:spacing w:lineRule="auto" w:line="240"/>
        <w:jc w:val="both"/>
        <w:rPr>
          <w:rFonts w:ascii="Times New Roman" w:hAnsi="Times New Roman" w:cs="Arial"/>
          <w:color w:val="00000A"/>
          <w:sz w:val="24"/>
          <w:szCs w:val="24"/>
        </w:rPr>
      </w:pPr>
      <w:r>
        <w:rPr>
          <w:rFonts w:cs="Arial" w:ascii="Times New Roman" w:hAnsi="Times New Roman"/>
          <w:color w:val="00000A"/>
          <w:sz w:val="24"/>
          <w:szCs w:val="24"/>
        </w:rPr>
      </w:r>
    </w:p>
    <w:p>
      <w:pPr>
        <w:pStyle w:val="NoSpacing"/>
        <w:spacing w:lineRule="auto" w:line="240"/>
        <w:jc w:val="both"/>
        <w:rPr>
          <w:rFonts w:ascii="Times New Roman" w:hAnsi="Times New Roman"/>
          <w:sz w:val="24"/>
          <w:szCs w:val="24"/>
        </w:rPr>
      </w:pPr>
      <w:r>
        <w:rPr>
          <w:rFonts w:ascii="Times New Roman" w:hAnsi="Times New Roman"/>
          <w:sz w:val="24"/>
          <w:szCs w:val="24"/>
        </w:rPr>
      </w:r>
    </w:p>
    <w:p>
      <w:pPr>
        <w:pStyle w:val="NoSpacing"/>
        <w:spacing w:lineRule="auto" w:line="240"/>
        <w:jc w:val="both"/>
        <w:rPr>
          <w:rFonts w:ascii="Times New Roman" w:hAnsi="Times New Roman"/>
          <w:sz w:val="24"/>
          <w:szCs w:val="24"/>
        </w:rPr>
      </w:pPr>
      <w:r>
        <w:rPr>
          <w:rFonts w:ascii="Times New Roman" w:hAnsi="Times New Roman"/>
          <w:sz w:val="24"/>
          <w:szCs w:val="24"/>
        </w:rPr>
        <w:t>_______________/ 2020</w:t>
      </w:r>
    </w:p>
    <w:p>
      <w:pPr>
        <w:pStyle w:val="NoSpacing"/>
        <w:spacing w:lineRule="auto" w:line="240"/>
        <w:jc w:val="both"/>
        <w:rPr>
          <w:rFonts w:ascii="Times New Roman" w:hAnsi="Times New Roman"/>
          <w:sz w:val="24"/>
          <w:szCs w:val="24"/>
        </w:rPr>
      </w:pPr>
      <w:r>
        <w:rPr>
          <w:rFonts w:ascii="Times New Roman" w:hAnsi="Times New Roman"/>
          <w:sz w:val="24"/>
          <w:szCs w:val="24"/>
        </w:rPr>
      </w:r>
    </w:p>
    <w:p>
      <w:pPr>
        <w:pStyle w:val="NoSpacing"/>
        <w:spacing w:lineRule="auto" w:line="240"/>
        <w:jc w:val="both"/>
        <w:rPr>
          <w:rFonts w:ascii="Times New Roman" w:hAnsi="Times New Roman"/>
          <w:sz w:val="24"/>
          <w:szCs w:val="24"/>
        </w:rPr>
      </w:pPr>
      <w:r>
        <w:rPr>
          <w:rFonts w:ascii="Times New Roman" w:hAnsi="Times New Roman"/>
          <w:sz w:val="24"/>
          <w:szCs w:val="24"/>
        </w:rPr>
      </w:r>
    </w:p>
    <w:p>
      <w:pPr>
        <w:pStyle w:val="NoSpacing"/>
        <w:spacing w:lineRule="auto" w:line="240"/>
        <w:jc w:val="both"/>
        <w:rPr>
          <w:rFonts w:ascii="Times New Roman" w:hAnsi="Times New Roman"/>
          <w:sz w:val="24"/>
          <w:szCs w:val="24"/>
        </w:rPr>
      </w:pPr>
      <w:r>
        <w:rPr>
          <w:rFonts w:ascii="Times New Roman" w:hAnsi="Times New Roman"/>
          <w:sz w:val="24"/>
          <w:szCs w:val="24"/>
        </w:rPr>
      </w:r>
    </w:p>
    <w:p>
      <w:pPr>
        <w:pStyle w:val="NoSpacing"/>
        <w:spacing w:lineRule="auto" w:line="240"/>
        <w:jc w:val="both"/>
        <w:rPr>
          <w:rFonts w:ascii="Times New Roman" w:hAnsi="Times New Roman"/>
          <w:sz w:val="24"/>
          <w:szCs w:val="24"/>
        </w:rPr>
      </w:pPr>
      <w:r>
        <w:rPr>
          <w:rFonts w:ascii="Times New Roman" w:hAnsi="Times New Roman"/>
          <w:sz w:val="24"/>
          <w:szCs w:val="24"/>
        </w:rPr>
      </w:r>
    </w:p>
    <w:p>
      <w:pPr>
        <w:pStyle w:val="NoSpacing"/>
        <w:spacing w:lineRule="auto" w:line="240"/>
        <w:jc w:val="both"/>
        <w:rPr>
          <w:rFonts w:ascii="Times New Roman" w:hAnsi="Times New Roman"/>
          <w:b w:val="false"/>
          <w:b w:val="false"/>
          <w:i w:val="false"/>
          <w:i w:val="false"/>
          <w:sz w:val="24"/>
          <w:szCs w:val="24"/>
        </w:rPr>
      </w:pPr>
      <w:r>
        <w:rPr>
          <w:rFonts w:ascii="Times New Roman" w:hAnsi="Times New Roman"/>
          <w:b w:val="false"/>
          <w:i w:val="false"/>
          <w:sz w:val="24"/>
          <w:szCs w:val="24"/>
        </w:rPr>
      </w:r>
    </w:p>
    <w:tbl>
      <w:tblPr>
        <w:tblW w:w="9072" w:type="dxa"/>
        <w:jc w:val="left"/>
        <w:tblInd w:w="0" w:type="dxa"/>
        <w:tblBorders/>
        <w:tblCellMar>
          <w:top w:w="0" w:type="dxa"/>
          <w:left w:w="0" w:type="dxa"/>
          <w:bottom w:w="0" w:type="dxa"/>
          <w:right w:w="0" w:type="dxa"/>
        </w:tblCellMar>
      </w:tblPr>
      <w:tblGrid>
        <w:gridCol w:w="5836"/>
        <w:gridCol w:w="3235"/>
      </w:tblGrid>
      <w:tr>
        <w:trPr/>
        <w:tc>
          <w:tcPr>
            <w:tcW w:w="5836" w:type="dxa"/>
            <w:tcBorders/>
            <w:shd w:fill="auto" w:val="clear"/>
          </w:tcPr>
          <w:p>
            <w:pPr>
              <w:pStyle w:val="NoSpacing"/>
              <w:spacing w:lineRule="auto" w:line="240"/>
              <w:jc w:val="both"/>
              <w:rPr>
                <w:rFonts w:ascii="Times New Roman" w:hAnsi="Times New Roman"/>
                <w:sz w:val="24"/>
                <w:szCs w:val="24"/>
              </w:rPr>
            </w:pPr>
            <w:r>
              <w:rPr>
                <w:rFonts w:ascii="Times New Roman" w:hAnsi="Times New Roman"/>
                <w:sz w:val="24"/>
                <w:szCs w:val="24"/>
              </w:rPr>
            </w:r>
          </w:p>
          <w:p>
            <w:pPr>
              <w:pStyle w:val="NoSpacing"/>
              <w:spacing w:lineRule="auto" w:line="240"/>
              <w:jc w:val="both"/>
              <w:rPr>
                <w:rFonts w:ascii="Times New Roman" w:hAnsi="Times New Roman"/>
                <w:sz w:val="24"/>
                <w:szCs w:val="24"/>
              </w:rPr>
            </w:pPr>
            <w:r>
              <w:rPr>
                <w:rFonts w:ascii="Times New Roman" w:hAnsi="Times New Roman"/>
                <w:sz w:val="24"/>
                <w:szCs w:val="24"/>
              </w:rPr>
              <w:t>PREŞEDINTE</w:t>
            </w:r>
          </w:p>
          <w:p>
            <w:pPr>
              <w:pStyle w:val="NoSpacing"/>
              <w:spacing w:lineRule="auto" w:line="240"/>
              <w:jc w:val="both"/>
              <w:rPr>
                <w:rFonts w:ascii="Times New Roman" w:hAnsi="Times New Roman"/>
                <w:sz w:val="24"/>
                <w:szCs w:val="24"/>
              </w:rPr>
            </w:pPr>
            <w:r>
              <w:rPr>
                <w:rFonts w:ascii="Times New Roman" w:hAnsi="Times New Roman"/>
                <w:sz w:val="24"/>
                <w:szCs w:val="24"/>
              </w:rPr>
              <w:t>Borboly Csaba</w:t>
              <w:tab/>
            </w:r>
          </w:p>
        </w:tc>
        <w:tc>
          <w:tcPr>
            <w:tcW w:w="3235" w:type="dxa"/>
            <w:tcBorders/>
            <w:shd w:fill="auto" w:val="clear"/>
          </w:tcPr>
          <w:p>
            <w:pPr>
              <w:pStyle w:val="NoSpacing"/>
              <w:spacing w:lineRule="auto" w:line="240"/>
              <w:jc w:val="center"/>
              <w:rPr>
                <w:rFonts w:ascii="Times New Roman" w:hAnsi="Times New Roman"/>
                <w:sz w:val="24"/>
                <w:szCs w:val="24"/>
              </w:rPr>
            </w:pPr>
            <w:r>
              <w:rPr>
                <w:rFonts w:ascii="Times New Roman" w:hAnsi="Times New Roman"/>
                <w:sz w:val="24"/>
                <w:szCs w:val="24"/>
              </w:rPr>
              <w:t>CONTRASEMNEAZĂ:</w:t>
            </w:r>
          </w:p>
          <w:p>
            <w:pPr>
              <w:pStyle w:val="NoSpacing"/>
              <w:spacing w:lineRule="auto" w:line="240"/>
              <w:jc w:val="center"/>
              <w:rPr>
                <w:rFonts w:ascii="Times New Roman" w:hAnsi="Times New Roman"/>
                <w:sz w:val="24"/>
                <w:szCs w:val="24"/>
              </w:rPr>
            </w:pPr>
            <w:r>
              <w:rPr>
                <w:rFonts w:ascii="Times New Roman" w:hAnsi="Times New Roman"/>
                <w:sz w:val="24"/>
                <w:szCs w:val="24"/>
              </w:rPr>
              <w:t>SECRETARUL  GENERAL AL JUDEȚULUI</w:t>
            </w:r>
          </w:p>
          <w:p>
            <w:pPr>
              <w:pStyle w:val="NoSpacing"/>
              <w:spacing w:lineRule="auto" w:line="240"/>
              <w:jc w:val="center"/>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Vágássy Alpár</w:t>
            </w:r>
          </w:p>
        </w:tc>
      </w:tr>
    </w:tbl>
    <w:p>
      <w:pPr>
        <w:pStyle w:val="NoSpacing"/>
        <w:spacing w:lineRule="auto" w:line="240"/>
        <w:jc w:val="both"/>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b w:val="false"/>
          <w:b w:val="false"/>
          <w:i w:val="false"/>
          <w:i w:val="false"/>
          <w:sz w:val="24"/>
          <w:szCs w:val="24"/>
        </w:rPr>
      </w:pPr>
      <w:r>
        <w:rPr>
          <w:rFonts w:ascii="Times New Roman" w:hAnsi="Times New Roman"/>
          <w:b w:val="false"/>
          <w:i w:val="false"/>
          <w:sz w:val="24"/>
          <w:szCs w:val="24"/>
        </w:rPr>
      </w:r>
    </w:p>
    <w:p>
      <w:pPr>
        <w:pStyle w:val="NoSpacing"/>
        <w:spacing w:lineRule="auto" w:line="240"/>
        <w:jc w:val="center"/>
        <w:rPr>
          <w:rFonts w:ascii="Times New Roman" w:hAnsi="Times New Roman"/>
          <w:sz w:val="24"/>
          <w:szCs w:val="24"/>
        </w:rPr>
      </w:pPr>
      <w:r>
        <w:rPr>
          <w:rFonts w:ascii="Times New Roman" w:hAnsi="Times New Roman"/>
          <w:b w:val="false"/>
          <w:i w:val="false"/>
          <w:sz w:val="24"/>
          <w:szCs w:val="24"/>
        </w:rPr>
        <w:t>VIZAT:</w:t>
      </w:r>
    </w:p>
    <w:p>
      <w:pPr>
        <w:pStyle w:val="Titlu2"/>
        <w:spacing w:lineRule="auto" w:line="240"/>
        <w:jc w:val="center"/>
        <w:rPr>
          <w:rFonts w:ascii="Calibri" w:hAnsi="Calibri"/>
          <w:b w:val="false"/>
          <w:b w:val="false"/>
          <w:i w:val="false"/>
          <w:i w:val="false"/>
          <w:sz w:val="24"/>
          <w:szCs w:val="24"/>
        </w:rPr>
      </w:pPr>
      <w:r>
        <w:rPr>
          <w:rFonts w:ascii="Times New Roman" w:hAnsi="Times New Roman"/>
          <w:b w:val="false"/>
          <w:i w:val="false"/>
          <w:sz w:val="24"/>
          <w:szCs w:val="24"/>
        </w:rPr>
        <w:t>SECRETARUL  GENERAL AL JUDEȚULUI,</w:t>
      </w:r>
    </w:p>
    <w:p>
      <w:pPr>
        <w:pStyle w:val="Normal"/>
        <w:spacing w:lineRule="auto" w:line="240"/>
        <w:jc w:val="center"/>
        <w:rPr>
          <w:rFonts w:ascii="Times New Roman" w:hAnsi="Times New Roman"/>
          <w:sz w:val="24"/>
          <w:szCs w:val="24"/>
        </w:rPr>
      </w:pPr>
      <w:r>
        <w:rPr>
          <w:rFonts w:ascii="Times New Roman" w:hAnsi="Times New Roman"/>
          <w:sz w:val="24"/>
          <w:szCs w:val="24"/>
        </w:rPr>
      </w:r>
    </w:p>
    <w:p>
      <w:pPr>
        <w:pStyle w:val="NoSpacing"/>
        <w:spacing w:lineRule="auto" w:line="240"/>
        <w:jc w:val="center"/>
        <w:rPr>
          <w:rFonts w:ascii="Liberation Serif" w:hAnsi="Liberation Serif"/>
          <w:sz w:val="26"/>
          <w:szCs w:val="26"/>
        </w:rPr>
      </w:pPr>
      <w:r>
        <w:rPr>
          <w:rFonts w:ascii="Times New Roman" w:hAnsi="Times New Roman"/>
          <w:sz w:val="24"/>
          <w:szCs w:val="24"/>
        </w:rPr>
        <w:t xml:space="preserve"> </w:t>
      </w:r>
      <w:r>
        <w:rPr>
          <w:rFonts w:ascii="Times New Roman" w:hAnsi="Times New Roman"/>
          <w:sz w:val="24"/>
          <w:szCs w:val="24"/>
        </w:rPr>
        <w:t>Vágássy Alpár</w:t>
      </w:r>
    </w:p>
    <w:p>
      <w:pPr>
        <w:pStyle w:val="Normal"/>
        <w:spacing w:lineRule="auto" w:line="240"/>
        <w:jc w:val="center"/>
        <w:rPr>
          <w:rFonts w:ascii="Times New Roman" w:hAnsi="Times New Roman"/>
          <w:sz w:val="24"/>
          <w:szCs w:val="24"/>
        </w:rPr>
      </w:pPr>
      <w:r>
        <w:rPr>
          <w:rFonts w:ascii="Times New Roman" w:hAnsi="Times New Roman"/>
          <w:sz w:val="24"/>
          <w:szCs w:val="24"/>
        </w:rPr>
      </w:r>
    </w:p>
    <w:p>
      <w:pPr>
        <w:pStyle w:val="Normal"/>
        <w:spacing w:lineRule="auto" w:line="240"/>
        <w:jc w:val="center"/>
        <w:rPr>
          <w:rFonts w:ascii="Times New Roman" w:hAnsi="Times New Roman"/>
          <w:sz w:val="24"/>
          <w:szCs w:val="24"/>
        </w:rPr>
      </w:pPr>
      <w:r>
        <w:rPr>
          <w:rFonts w:ascii="Times New Roman" w:hAnsi="Times New Roman"/>
          <w:sz w:val="24"/>
          <w:szCs w:val="24"/>
        </w:rPr>
      </w:r>
    </w:p>
    <w:p>
      <w:pPr>
        <w:pStyle w:val="Normal"/>
        <w:spacing w:lineRule="auto" w:line="240"/>
        <w:jc w:val="center"/>
        <w:rPr>
          <w:rFonts w:ascii="Times New Roman" w:hAnsi="Times New Roman"/>
          <w:sz w:val="24"/>
          <w:szCs w:val="24"/>
        </w:rPr>
      </w:pPr>
      <w:r>
        <w:rPr>
          <w:rFonts w:ascii="Times New Roman" w:hAnsi="Times New Roman"/>
          <w:sz w:val="24"/>
          <w:szCs w:val="24"/>
        </w:rPr>
      </w:r>
    </w:p>
    <w:p>
      <w:pPr>
        <w:pStyle w:val="Corptext"/>
        <w:spacing w:lineRule="auto" w:line="240"/>
        <w:jc w:val="both"/>
        <w:rPr>
          <w:rFonts w:ascii="Times New Roman" w:hAnsi="Times New Roman"/>
          <w:sz w:val="24"/>
          <w:szCs w:val="24"/>
        </w:rPr>
      </w:pPr>
      <w:r>
        <w:rPr>
          <w:rFonts w:ascii="Times New Roman" w:hAnsi="Times New Roman"/>
          <w:sz w:val="24"/>
          <w:szCs w:val="24"/>
        </w:rPr>
        <w:t xml:space="preserve">Prezentul proiect de hotărâre a fost inițiat de către  președintele Borboly Csaba, la propunerea </w:t>
      </w:r>
      <w:r>
        <w:rPr>
          <w:rFonts w:ascii="Times New Roman" w:hAnsi="Times New Roman"/>
          <w:sz w:val="24"/>
          <w:szCs w:val="24"/>
          <w:lang w:val="en-US"/>
        </w:rPr>
        <w:t>Agenției de Dezvoltare Județeană Harghita.</w:t>
      </w:r>
    </w:p>
    <w:p>
      <w:pPr>
        <w:pStyle w:val="Corptext"/>
        <w:spacing w:lineRule="auto" w:line="240"/>
        <w:jc w:val="center"/>
        <w:rPr>
          <w:rFonts w:ascii="Times New Roman" w:hAnsi="Times New Roman"/>
          <w:sz w:val="24"/>
          <w:szCs w:val="24"/>
          <w:lang w:val="en-US"/>
        </w:rPr>
      </w:pPr>
      <w:r>
        <w:rPr>
          <w:rFonts w:ascii="Times New Roman" w:hAnsi="Times New Roman"/>
          <w:sz w:val="24"/>
          <w:szCs w:val="24"/>
          <w:lang w:val="en-US"/>
        </w:rPr>
      </w:r>
    </w:p>
    <w:p>
      <w:pPr>
        <w:pStyle w:val="Normal"/>
        <w:spacing w:lineRule="auto" w:line="240"/>
        <w:jc w:val="center"/>
        <w:rPr>
          <w:rFonts w:ascii="Times New Roman" w:hAnsi="Times New Roman"/>
          <w:b/>
          <w:b/>
          <w:sz w:val="24"/>
          <w:szCs w:val="24"/>
        </w:rPr>
      </w:pPr>
      <w:r>
        <w:rPr>
          <w:rFonts w:ascii="Times New Roman" w:hAnsi="Times New Roman"/>
          <w:b/>
          <w:sz w:val="24"/>
          <w:szCs w:val="24"/>
        </w:rPr>
      </w:r>
    </w:p>
    <w:p>
      <w:pPr>
        <w:pStyle w:val="Normal"/>
        <w:spacing w:lineRule="auto" w:line="240"/>
        <w:jc w:val="center"/>
        <w:rPr>
          <w:rFonts w:ascii="Times New Roman" w:hAnsi="Times New Roman"/>
          <w:b/>
          <w:b/>
          <w:sz w:val="24"/>
          <w:szCs w:val="24"/>
        </w:rPr>
      </w:pPr>
      <w:r>
        <w:rPr>
          <w:rFonts w:ascii="Times New Roman" w:hAnsi="Times New Roman"/>
          <w:b/>
          <w:sz w:val="24"/>
          <w:szCs w:val="24"/>
        </w:rPr>
      </w:r>
    </w:p>
    <w:p>
      <w:pPr>
        <w:pStyle w:val="Normal"/>
        <w:spacing w:lineRule="auto" w:line="240"/>
        <w:ind w:left="0" w:right="0" w:hanging="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Borboly Csaba</w:t>
        <w:tab/>
        <w:tab/>
        <w:tab/>
        <w:tab/>
        <w:tab/>
        <w:t xml:space="preserve">           Cilip Árpád</w:t>
      </w:r>
    </w:p>
    <w:p>
      <w:pPr>
        <w:pStyle w:val="Normal"/>
        <w:spacing w:lineRule="auto" w:line="240"/>
        <w:ind w:left="1080" w:right="0" w:hanging="0"/>
        <w:rPr>
          <w:rFonts w:ascii="Calibri" w:hAnsi="Calibri"/>
          <w:sz w:val="24"/>
          <w:szCs w:val="24"/>
        </w:rPr>
      </w:pPr>
      <w:r>
        <w:rPr>
          <w:rFonts w:ascii="Times New Roman" w:hAnsi="Times New Roman"/>
          <w:sz w:val="24"/>
          <w:szCs w:val="24"/>
        </w:rPr>
        <w:t xml:space="preserve">                                                                                                                                                                                                                                                                                                                              </w:t>
      </w:r>
      <w:r>
        <w:rPr>
          <w:rFonts w:ascii="Times New Roman" w:hAnsi="Times New Roman"/>
          <w:sz w:val="24"/>
          <w:szCs w:val="24"/>
        </w:rPr>
        <w:t>PREŞEDINTE</w:t>
        <w:tab/>
        <w:tab/>
        <w:tab/>
        <w:tab/>
        <w:tab/>
        <w:t xml:space="preserve">          DIRECTOR</w:t>
      </w:r>
    </w:p>
    <w:p>
      <w:pPr>
        <w:pStyle w:val="Normal"/>
        <w:spacing w:lineRule="auto" w:line="240"/>
        <w:rPr>
          <w:rFonts w:ascii="Times New Roman" w:hAnsi="Times New Roman"/>
          <w:sz w:val="24"/>
          <w:szCs w:val="24"/>
        </w:rPr>
      </w:pPr>
      <w:r>
        <w:rPr>
          <w:rFonts w:ascii="Times New Roman" w:hAnsi="Times New Roman"/>
          <w:sz w:val="24"/>
          <w:szCs w:val="24"/>
        </w:rPr>
      </w:r>
    </w:p>
    <w:p>
      <w:pPr>
        <w:pStyle w:val="Normal"/>
        <w:spacing w:lineRule="auto" w:line="240"/>
        <w:rPr>
          <w:rFonts w:ascii="Times New Roman" w:hAnsi="Times New Roman"/>
          <w:sz w:val="24"/>
          <w:szCs w:val="24"/>
        </w:rPr>
      </w:pPr>
      <w:r>
        <w:rPr>
          <w:rFonts w:ascii="Times New Roman" w:hAnsi="Times New Roman"/>
          <w:sz w:val="24"/>
          <w:szCs w:val="24"/>
        </w:rPr>
      </w:r>
    </w:p>
    <w:p>
      <w:pPr>
        <w:pStyle w:val="Normal"/>
        <w:spacing w:lineRule="auto" w:line="240"/>
        <w:rPr>
          <w:rFonts w:ascii="Times New Roman" w:hAnsi="Times New Roman"/>
          <w:sz w:val="24"/>
          <w:szCs w:val="24"/>
        </w:rPr>
      </w:pPr>
      <w:r>
        <w:rPr>
          <w:rFonts w:ascii="Times New Roman" w:hAnsi="Times New Roman"/>
          <w:sz w:val="24"/>
          <w:szCs w:val="24"/>
        </w:rPr>
      </w:r>
    </w:p>
    <w:p>
      <w:pPr>
        <w:pStyle w:val="Normal"/>
        <w:spacing w:lineRule="auto" w:line="240"/>
        <w:rPr>
          <w:rFonts w:ascii="Times New Roman" w:hAnsi="Times New Roman"/>
          <w:sz w:val="24"/>
          <w:szCs w:val="24"/>
        </w:rPr>
      </w:pPr>
      <w:r>
        <w:rPr>
          <w:rFonts w:ascii="Times New Roman" w:hAnsi="Times New Roman"/>
          <w:sz w:val="24"/>
          <w:szCs w:val="24"/>
        </w:rPr>
      </w:r>
    </w:p>
    <w:p>
      <w:pPr>
        <w:pStyle w:val="Normal"/>
        <w:spacing w:lineRule="auto" w:line="240"/>
        <w:ind w:left="2880" w:right="0" w:firstLine="720"/>
        <w:rPr>
          <w:rFonts w:ascii="Times New Roman" w:hAnsi="Times New Roman"/>
          <w:sz w:val="24"/>
          <w:szCs w:val="24"/>
        </w:rPr>
      </w:pPr>
      <w:r>
        <w:rPr>
          <w:rFonts w:ascii="Times New Roman" w:hAnsi="Times New Roman"/>
          <w:sz w:val="24"/>
          <w:szCs w:val="24"/>
        </w:rPr>
      </w:r>
    </w:p>
    <w:p>
      <w:pPr>
        <w:pStyle w:val="Normal"/>
        <w:spacing w:lineRule="auto" w:line="240"/>
        <w:jc w:val="center"/>
        <w:rPr>
          <w:rFonts w:ascii="Times New Roman" w:hAnsi="Times New Roman"/>
          <w:sz w:val="24"/>
          <w:szCs w:val="24"/>
        </w:rPr>
      </w:pPr>
      <w:r>
        <w:rPr>
          <w:rFonts w:ascii="Times New Roman" w:hAnsi="Times New Roman"/>
          <w:sz w:val="24"/>
          <w:szCs w:val="24"/>
        </w:rPr>
      </w:r>
    </w:p>
    <w:p>
      <w:pPr>
        <w:pStyle w:val="Normal"/>
        <w:spacing w:lineRule="auto" w:line="240"/>
        <w:jc w:val="center"/>
        <w:rPr>
          <w:rFonts w:ascii="Calibri" w:hAnsi="Calibri"/>
          <w:sz w:val="24"/>
          <w:szCs w:val="24"/>
        </w:rPr>
      </w:pPr>
      <w:r>
        <w:rPr>
          <w:rFonts w:ascii="Times New Roman" w:hAnsi="Times New Roman"/>
          <w:sz w:val="24"/>
          <w:szCs w:val="24"/>
        </w:rPr>
        <w:t>VIZA JURIDICĂ:</w:t>
      </w:r>
    </w:p>
    <w:p>
      <w:pPr>
        <w:pStyle w:val="Normal"/>
        <w:spacing w:lineRule="auto" w:line="240"/>
        <w:jc w:val="center"/>
        <w:rPr>
          <w:rFonts w:ascii="Times New Roman" w:hAnsi="Times New Roman"/>
          <w:sz w:val="24"/>
          <w:szCs w:val="24"/>
        </w:rPr>
      </w:pPr>
      <w:r>
        <w:rPr>
          <w:rFonts w:ascii="Times New Roman" w:hAnsi="Times New Roman"/>
          <w:sz w:val="24"/>
          <w:szCs w:val="24"/>
        </w:rPr>
        <w:t>DIRECȚIA GENERALĂ ADMINISTRAȚIE PUBLICĂ LOCALĂ</w:t>
      </w:r>
    </w:p>
    <w:p>
      <w:pPr>
        <w:pStyle w:val="Normal"/>
        <w:spacing w:lineRule="auto" w:line="240"/>
        <w:ind w:left="0" w:right="0" w:firstLine="720"/>
        <w:rPr>
          <w:rFonts w:ascii="Times New Roman" w:hAnsi="Times New Roman"/>
          <w:sz w:val="24"/>
          <w:szCs w:val="24"/>
        </w:rPr>
      </w:pPr>
      <w:r>
        <w:rPr>
          <w:rFonts w:ascii="Times New Roman" w:hAnsi="Times New Roman"/>
          <w:sz w:val="24"/>
          <w:szCs w:val="24"/>
        </w:rPr>
        <w:tab/>
        <w:tab/>
        <w:tab/>
        <w:t xml:space="preserve">                 Antal</w:t>
      </w:r>
      <w:r>
        <w:rPr>
          <w:rFonts w:ascii="Times New Roman" w:hAnsi="Times New Roman"/>
          <w:b w:val="false"/>
          <w:bCs w:val="false"/>
          <w:sz w:val="24"/>
          <w:szCs w:val="24"/>
        </w:rPr>
        <w:t xml:space="preserve"> Renáta </w:t>
      </w:r>
    </w:p>
    <w:p>
      <w:pPr>
        <w:pStyle w:val="Normal"/>
        <w:spacing w:lineRule="auto" w:line="240"/>
        <w:ind w:left="2880" w:right="0" w:hanging="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DIRECTOR GENERAL</w:t>
      </w:r>
    </w:p>
    <w:p>
      <w:pPr>
        <w:pStyle w:val="Normal"/>
        <w:spacing w:lineRule="auto" w:line="240"/>
        <w:rPr>
          <w:rFonts w:ascii="Times New Roman" w:hAnsi="Times New Roman"/>
          <w:sz w:val="24"/>
          <w:szCs w:val="24"/>
        </w:rPr>
      </w:pPr>
      <w:r>
        <w:rPr>
          <w:rFonts w:ascii="Times New Roman" w:hAnsi="Times New Roman"/>
          <w:sz w:val="24"/>
          <w:szCs w:val="24"/>
        </w:rPr>
      </w:r>
    </w:p>
    <w:p>
      <w:pPr>
        <w:pStyle w:val="Normal"/>
        <w:spacing w:lineRule="auto" w:line="240"/>
        <w:rPr>
          <w:rFonts w:ascii="Times New Roman" w:hAnsi="Times New Roman"/>
          <w:sz w:val="24"/>
          <w:szCs w:val="24"/>
        </w:rPr>
      </w:pPr>
      <w:r>
        <w:rPr>
          <w:rFonts w:ascii="Times New Roman" w:hAnsi="Times New Roman"/>
          <w:sz w:val="24"/>
          <w:szCs w:val="24"/>
        </w:rPr>
      </w:r>
    </w:p>
    <w:p>
      <w:pPr>
        <w:pStyle w:val="Normal"/>
        <w:spacing w:lineRule="auto" w:line="240"/>
        <w:rPr>
          <w:rFonts w:ascii="Times New Roman" w:hAnsi="Times New Roman" w:cs="Calibri"/>
          <w:sz w:val="24"/>
          <w:szCs w:val="24"/>
        </w:rPr>
      </w:pPr>
      <w:r>
        <w:rPr>
          <w:rFonts w:cs="Calibri" w:ascii="Times New Roman" w:hAnsi="Times New Roman"/>
          <w:sz w:val="24"/>
          <w:szCs w:val="24"/>
        </w:rPr>
      </w:r>
    </w:p>
    <w:p>
      <w:pPr>
        <w:pStyle w:val="Normal"/>
        <w:spacing w:lineRule="auto" w:line="240"/>
        <w:jc w:val="center"/>
        <w:rPr>
          <w:rFonts w:ascii="Times New Roman" w:hAnsi="Times New Roman" w:cs="Calibri"/>
          <w:sz w:val="24"/>
          <w:szCs w:val="24"/>
        </w:rPr>
      </w:pPr>
      <w:r>
        <w:rPr>
          <w:rFonts w:cs="Calibri" w:ascii="Times New Roman" w:hAnsi="Times New Roman"/>
          <w:sz w:val="24"/>
          <w:szCs w:val="24"/>
        </w:rPr>
      </w:r>
    </w:p>
    <w:p>
      <w:pPr>
        <w:pStyle w:val="Normal"/>
        <w:spacing w:lineRule="auto" w:line="240"/>
        <w:jc w:val="center"/>
        <w:rPr>
          <w:rFonts w:ascii="Times New Roman" w:hAnsi="Times New Roman" w:cs="Calibri"/>
          <w:sz w:val="24"/>
          <w:szCs w:val="24"/>
        </w:rPr>
      </w:pPr>
      <w:r>
        <w:rPr>
          <w:rFonts w:cs="Calibri" w:ascii="Times New Roman" w:hAnsi="Times New Roman"/>
          <w:sz w:val="24"/>
          <w:szCs w:val="24"/>
        </w:rPr>
      </w:r>
    </w:p>
    <w:p>
      <w:pPr>
        <w:pStyle w:val="Normal"/>
        <w:spacing w:lineRule="auto" w:line="240"/>
        <w:jc w:val="center"/>
        <w:rPr>
          <w:rFonts w:ascii="Calibri" w:hAnsi="Calibri" w:cs="Calibri"/>
          <w:sz w:val="24"/>
          <w:szCs w:val="24"/>
        </w:rPr>
      </w:pPr>
      <w:r>
        <w:rPr>
          <w:rFonts w:cs="Calibri" w:ascii="Times New Roman" w:hAnsi="Times New Roman"/>
          <w:sz w:val="24"/>
          <w:szCs w:val="24"/>
        </w:rPr>
        <w:t>VIZAT</w:t>
      </w:r>
    </w:p>
    <w:p>
      <w:pPr>
        <w:pStyle w:val="Normal"/>
        <w:spacing w:lineRule="auto" w:line="240"/>
        <w:jc w:val="center"/>
        <w:rPr>
          <w:rFonts w:ascii="Times New Roman" w:hAnsi="Times New Roman"/>
          <w:sz w:val="24"/>
          <w:szCs w:val="24"/>
        </w:rPr>
      </w:pPr>
      <w:r>
        <w:rPr>
          <w:rFonts w:cs="Calibri" w:ascii="Times New Roman" w:hAnsi="Times New Roman"/>
          <w:sz w:val="24"/>
          <w:szCs w:val="24"/>
        </w:rPr>
        <w:t>Compartimentul Cancelaria Consiliului Județean Harghita</w:t>
      </w:r>
    </w:p>
    <w:p>
      <w:pPr>
        <w:pStyle w:val="Normal"/>
        <w:spacing w:lineRule="auto" w:line="240"/>
        <w:jc w:val="center"/>
        <w:rPr>
          <w:rFonts w:ascii="Times New Roman" w:hAnsi="Times New Roman"/>
          <w:sz w:val="24"/>
          <w:szCs w:val="24"/>
        </w:rPr>
      </w:pPr>
      <w:r>
        <w:rPr>
          <w:rFonts w:cs="Calibri" w:ascii="Times New Roman" w:hAnsi="Times New Roman"/>
          <w:sz w:val="24"/>
          <w:szCs w:val="24"/>
        </w:rPr>
        <w:t>Szabó Zsolt Szilveszter</w:t>
      </w:r>
    </w:p>
    <w:p>
      <w:pPr>
        <w:pStyle w:val="Normal"/>
        <w:spacing w:lineRule="auto" w:line="240"/>
        <w:jc w:val="center"/>
        <w:rPr>
          <w:rFonts w:ascii="Calibri" w:hAnsi="Calibri" w:cs="Calibri"/>
          <w:sz w:val="24"/>
          <w:szCs w:val="24"/>
        </w:rPr>
      </w:pPr>
      <w:r>
        <w:rPr>
          <w:rFonts w:cs="Calibri" w:ascii="Times New Roman" w:hAnsi="Times New Roman"/>
          <w:sz w:val="24"/>
          <w:szCs w:val="24"/>
        </w:rPr>
        <w:t>Coordonator compartiment</w:t>
      </w:r>
    </w:p>
    <w:p>
      <w:pPr>
        <w:pStyle w:val="Normal"/>
        <w:spacing w:lineRule="auto" w:line="240"/>
        <w:jc w:val="both"/>
        <w:rPr>
          <w:rFonts w:ascii="Times New Roman" w:hAnsi="Times New Roman"/>
          <w:color w:val="000000"/>
          <w:sz w:val="24"/>
          <w:szCs w:val="24"/>
        </w:rPr>
      </w:pPr>
      <w:r>
        <w:rPr>
          <w:rFonts w:ascii="Times New Roman" w:hAnsi="Times New Roman"/>
          <w:color w:val="000000"/>
          <w:sz w:val="24"/>
          <w:szCs w:val="24"/>
        </w:rPr>
      </w:r>
    </w:p>
    <w:p>
      <w:pPr>
        <w:pStyle w:val="Normal"/>
        <w:spacing w:lineRule="auto" w:line="240"/>
        <w:jc w:val="both"/>
        <w:rPr>
          <w:rFonts w:ascii="Times New Roman" w:hAnsi="Times New Roman"/>
          <w:color w:val="000000"/>
          <w:sz w:val="24"/>
          <w:szCs w:val="24"/>
        </w:rPr>
      </w:pPr>
      <w:r>
        <w:rPr>
          <w:rFonts w:ascii="Times New Roman" w:hAnsi="Times New Roman"/>
          <w:color w:val="000000"/>
          <w:sz w:val="24"/>
          <w:szCs w:val="24"/>
        </w:rPr>
      </w:r>
    </w:p>
    <w:p>
      <w:pPr>
        <w:pStyle w:val="Normal"/>
        <w:spacing w:lineRule="auto" w:line="240"/>
        <w:jc w:val="both"/>
        <w:rPr>
          <w:rFonts w:ascii="Times New Roman" w:hAnsi="Times New Roman"/>
          <w:sz w:val="24"/>
          <w:szCs w:val="24"/>
        </w:rPr>
      </w:pPr>
      <w:r>
        <w:rPr>
          <w:rFonts w:ascii="Times New Roman" w:hAnsi="Times New Roman"/>
          <w:sz w:val="24"/>
          <w:szCs w:val="24"/>
        </w:rPr>
      </w:r>
    </w:p>
    <w:p>
      <w:pPr>
        <w:pStyle w:val="Normal"/>
        <w:spacing w:lineRule="auto" w:line="240"/>
        <w:jc w:val="both"/>
        <w:rPr>
          <w:rFonts w:ascii="Times New Roman" w:hAnsi="Times New Roman"/>
          <w:sz w:val="24"/>
          <w:szCs w:val="24"/>
        </w:rPr>
      </w:pPr>
      <w:r>
        <w:rPr>
          <w:rFonts w:ascii="Times New Roman" w:hAnsi="Times New Roman"/>
          <w:sz w:val="24"/>
          <w:szCs w:val="24"/>
        </w:rPr>
      </w:r>
    </w:p>
    <w:p>
      <w:pPr>
        <w:pStyle w:val="Normal"/>
        <w:spacing w:lineRule="auto" w:line="240"/>
        <w:jc w:val="both"/>
        <w:rPr>
          <w:rFonts w:ascii="Times New Roman" w:hAnsi="Times New Roman"/>
          <w:sz w:val="24"/>
          <w:szCs w:val="24"/>
        </w:rPr>
      </w:pPr>
      <w:r>
        <w:rPr>
          <w:rFonts w:ascii="Times New Roman" w:hAnsi="Times New Roman"/>
          <w:sz w:val="24"/>
          <w:szCs w:val="24"/>
        </w:rPr>
      </w:r>
    </w:p>
    <w:p>
      <w:pPr>
        <w:sectPr>
          <w:type w:val="nextPage"/>
          <w:pgSz w:w="11906" w:h="16838"/>
          <w:pgMar w:left="1417" w:right="1417" w:header="0" w:top="870" w:footer="0" w:bottom="1403" w:gutter="0"/>
          <w:pgNumType w:fmt="decimal"/>
          <w:formProt w:val="false"/>
          <w:textDirection w:val="lrTb"/>
          <w:docGrid w:type="default" w:linePitch="360" w:charSpace="4294961151"/>
        </w:sectPr>
        <w:pStyle w:val="Normal"/>
        <w:spacing w:lineRule="auto" w:line="240"/>
        <w:jc w:val="both"/>
        <w:rPr>
          <w:rFonts w:ascii="Times New Roman" w:hAnsi="Times New Roman"/>
          <w:sz w:val="24"/>
          <w:szCs w:val="24"/>
        </w:rPr>
      </w:pPr>
      <w:r>
        <w:rPr>
          <w:rFonts w:ascii="Times New Roman" w:hAnsi="Times New Roman"/>
          <w:sz w:val="24"/>
          <w:szCs w:val="24"/>
        </w:rPr>
      </w:r>
    </w:p>
    <w:p>
      <w:pPr>
        <w:pStyle w:val="Normal"/>
        <w:spacing w:lineRule="auto" w:line="240"/>
        <w:jc w:val="both"/>
        <w:rPr/>
      </w:pPr>
      <w:r>
        <w:rPr>
          <w:rFonts w:ascii="Times New Roman" w:hAnsi="Times New Roman"/>
          <w:color w:val="000000"/>
          <w:sz w:val="24"/>
          <w:szCs w:val="24"/>
        </w:rPr>
        <w:t>ROMÂNIA</w:t>
      </w:r>
      <w:r>
        <w:rPr>
          <w:rFonts w:ascii="Times New Roman" w:hAnsi="Times New Roman"/>
          <w:color w:val="000000"/>
          <w:sz w:val="24"/>
          <w:szCs w:val="24"/>
          <w:highlight w:val="white"/>
        </w:rPr>
        <w:t>                                                                                         </w:t>
      </w:r>
      <w:r>
        <w:rPr>
          <w:rFonts w:ascii="Times New Roman" w:hAnsi="Times New Roman"/>
          <w:color w:val="000000"/>
          <w:sz w:val="24"/>
          <w:szCs w:val="24"/>
        </w:rPr>
        <w:t xml:space="preserve">            Se aprobă,</w:t>
      </w:r>
    </w:p>
    <w:p>
      <w:pPr>
        <w:pStyle w:val="Normal"/>
        <w:spacing w:lineRule="auto" w:line="240"/>
        <w:jc w:val="both"/>
        <w:rPr/>
      </w:pPr>
      <w:r>
        <w:rPr>
          <w:rFonts w:ascii="Times New Roman" w:hAnsi="Times New Roman"/>
          <w:color w:val="000000"/>
          <w:sz w:val="24"/>
          <w:szCs w:val="24"/>
        </w:rPr>
        <w:t>JUDEȚUL HARGHITA</w:t>
        <w:tab/>
        <w:tab/>
        <w:tab/>
        <w:tab/>
        <w:tab/>
        <w:tab/>
        <w:t xml:space="preserve">              Borboly Csaba</w:t>
      </w:r>
    </w:p>
    <w:p>
      <w:pPr>
        <w:pStyle w:val="Normal"/>
        <w:spacing w:lineRule="auto" w:line="240"/>
        <w:jc w:val="both"/>
        <w:rPr/>
      </w:pPr>
      <w:r>
        <w:rPr>
          <w:rFonts w:ascii="Times New Roman" w:hAnsi="Times New Roman"/>
          <w:color w:val="000000"/>
          <w:sz w:val="24"/>
          <w:szCs w:val="24"/>
        </w:rPr>
        <w:t>CONSILIUL JUDEȚEAN</w:t>
      </w:r>
      <w:r>
        <w:rPr>
          <w:rFonts w:ascii="Times New Roman" w:hAnsi="Times New Roman"/>
          <w:color w:val="000000"/>
          <w:sz w:val="24"/>
          <w:szCs w:val="24"/>
          <w:highlight w:val="white"/>
        </w:rPr>
        <w:t> HARGHITA                                                        președinte              </w:t>
      </w:r>
      <w:r>
        <w:rPr>
          <w:rFonts w:ascii="Times New Roman" w:hAnsi="Times New Roman"/>
          <w:color w:val="000000"/>
          <w:sz w:val="24"/>
          <w:szCs w:val="24"/>
        </w:rPr>
        <w:t xml:space="preserve">     </w:t>
      </w:r>
    </w:p>
    <w:p>
      <w:pPr>
        <w:pStyle w:val="Normal"/>
        <w:spacing w:lineRule="auto" w:line="240"/>
        <w:jc w:val="both"/>
        <w:rPr>
          <w:rFonts w:ascii="Times New Roman" w:hAnsi="Times New Roman"/>
          <w:sz w:val="24"/>
          <w:szCs w:val="24"/>
        </w:rPr>
      </w:pPr>
      <w:r>
        <w:rPr>
          <w:rFonts w:ascii="Times New Roman" w:hAnsi="Times New Roman"/>
          <w:color w:val="000000"/>
          <w:sz w:val="24"/>
          <w:szCs w:val="24"/>
        </w:rPr>
        <w:t xml:space="preserve">Agenția de Dezvoltare Județeană Harghita </w:t>
      </w:r>
      <w:r>
        <w:rPr>
          <w:rFonts w:ascii="Times New Roman" w:hAnsi="Times New Roman"/>
          <w:b/>
          <w:bCs/>
          <w:color w:val="000000"/>
          <w:sz w:val="24"/>
          <w:szCs w:val="24"/>
          <w:highlight w:val="white"/>
        </w:rPr>
        <w:t> </w:t>
      </w:r>
    </w:p>
    <w:p>
      <w:pPr>
        <w:pStyle w:val="Normal"/>
        <w:spacing w:lineRule="auto" w:line="240"/>
        <w:jc w:val="both"/>
        <w:rPr/>
      </w:pPr>
      <w:r>
        <w:rPr>
          <w:rFonts w:ascii="Times New Roman" w:hAnsi="Times New Roman"/>
          <w:color w:val="000000"/>
          <w:sz w:val="24"/>
          <w:szCs w:val="24"/>
        </w:rPr>
        <w:t>Nr. înreg.:             /1</w:t>
      </w:r>
      <w:r>
        <w:rPr>
          <w:rFonts w:ascii="Times New Roman" w:hAnsi="Times New Roman"/>
          <w:color w:val="000000"/>
          <w:sz w:val="24"/>
          <w:szCs w:val="24"/>
        </w:rPr>
        <w:t>6</w:t>
      </w:r>
      <w:r>
        <w:rPr>
          <w:rFonts w:ascii="Times New Roman" w:hAnsi="Times New Roman"/>
          <w:color w:val="000000"/>
          <w:sz w:val="24"/>
          <w:szCs w:val="24"/>
        </w:rPr>
        <w:t>.06.2020</w:t>
      </w:r>
    </w:p>
    <w:p>
      <w:pPr>
        <w:pStyle w:val="Normal"/>
        <w:spacing w:lineRule="auto" w:line="240"/>
        <w:jc w:val="both"/>
        <w:rPr>
          <w:rFonts w:ascii="Times New Roman" w:hAnsi="Times New Roman"/>
          <w:b/>
          <w:b/>
          <w:bCs/>
          <w:sz w:val="24"/>
          <w:szCs w:val="24"/>
        </w:rPr>
      </w:pPr>
      <w:r>
        <w:rPr>
          <w:rFonts w:ascii="Times New Roman" w:hAnsi="Times New Roman"/>
          <w:b/>
          <w:bCs/>
          <w:sz w:val="24"/>
          <w:szCs w:val="24"/>
        </w:rPr>
      </w:r>
    </w:p>
    <w:p>
      <w:pPr>
        <w:pStyle w:val="Normal"/>
        <w:spacing w:lineRule="auto" w:line="240"/>
        <w:jc w:val="both"/>
        <w:rPr>
          <w:rFonts w:ascii="Times New Roman" w:hAnsi="Times New Roman"/>
          <w:b/>
          <w:b/>
          <w:bCs/>
          <w:sz w:val="24"/>
          <w:szCs w:val="24"/>
        </w:rPr>
      </w:pPr>
      <w:r>
        <w:rPr>
          <w:rFonts w:ascii="Times New Roman" w:hAnsi="Times New Roman"/>
          <w:b/>
          <w:bCs/>
          <w:sz w:val="24"/>
          <w:szCs w:val="24"/>
        </w:rPr>
      </w:r>
    </w:p>
    <w:p>
      <w:pPr>
        <w:pStyle w:val="Normal"/>
        <w:spacing w:lineRule="auto" w:line="240"/>
        <w:jc w:val="center"/>
        <w:rPr>
          <w:rFonts w:ascii="Times New Roman" w:hAnsi="Times New Roman"/>
          <w:sz w:val="24"/>
          <w:szCs w:val="24"/>
        </w:rPr>
      </w:pPr>
      <w:r>
        <w:rPr>
          <w:rFonts w:ascii="Times New Roman" w:hAnsi="Times New Roman"/>
          <w:b/>
          <w:bCs/>
          <w:sz w:val="24"/>
          <w:szCs w:val="24"/>
        </w:rPr>
        <w:t xml:space="preserve"> </w:t>
      </w:r>
      <w:r>
        <w:rPr>
          <w:rFonts w:ascii="Times New Roman" w:hAnsi="Times New Roman"/>
          <w:b/>
          <w:bCs/>
          <w:sz w:val="24"/>
          <w:szCs w:val="24"/>
        </w:rPr>
        <w:t>Referat de Aprobare</w:t>
      </w:r>
    </w:p>
    <w:p>
      <w:pPr>
        <w:pStyle w:val="NoSpacing"/>
        <w:spacing w:lineRule="auto" w:line="240"/>
        <w:jc w:val="center"/>
        <w:rPr>
          <w:rFonts w:ascii="Times New Roman" w:hAnsi="Times New Roman"/>
          <w:sz w:val="24"/>
          <w:szCs w:val="24"/>
        </w:rPr>
      </w:pPr>
      <w:r>
        <w:rPr>
          <w:rFonts w:ascii="Times New Roman" w:hAnsi="Times New Roman"/>
          <w:sz w:val="24"/>
          <w:szCs w:val="24"/>
        </w:rPr>
        <w:t>privind aprobarea modificării Anexei nr.1 al Hotărârii Consiliului Județean Harghita nr. 322/2015, cu modificările și completările ulterioare, privind aprobarea înființării ,, Agenției de Dezvoltare Județeană Harghita” respectiv ,,Hargita Megye Fejleszt</w:t>
      </w:r>
      <w:r>
        <w:rPr>
          <w:rFonts w:ascii="Times New Roman" w:hAnsi="Times New Roman"/>
          <w:sz w:val="24"/>
          <w:szCs w:val="24"/>
          <w:lang w:val="hu-HU"/>
        </w:rPr>
        <w:t>ési Ügynöksége</w:t>
      </w:r>
      <w:r>
        <w:rPr>
          <w:rFonts w:ascii="Times New Roman" w:hAnsi="Times New Roman"/>
          <w:sz w:val="24"/>
          <w:szCs w:val="24"/>
        </w:rPr>
        <w:t>” și aprobarea Regulamentului de organizare și funcționare, Statului de funcții și Organigramei ale acesteia</w:t>
      </w:r>
    </w:p>
    <w:p>
      <w:pPr>
        <w:pStyle w:val="NoSpacing"/>
        <w:spacing w:lineRule="auto" w:line="240"/>
        <w:jc w:val="center"/>
        <w:rPr>
          <w:rFonts w:ascii="Times New Roman" w:hAnsi="Times New Roman"/>
          <w:sz w:val="24"/>
          <w:szCs w:val="24"/>
        </w:rPr>
      </w:pPr>
      <w:r>
        <w:rPr>
          <w:rFonts w:ascii="Times New Roman" w:hAnsi="Times New Roman"/>
          <w:sz w:val="24"/>
          <w:szCs w:val="24"/>
        </w:rPr>
      </w:r>
    </w:p>
    <w:p>
      <w:pPr>
        <w:pStyle w:val="NoSpacing"/>
        <w:spacing w:lineRule="auto" w:line="240"/>
        <w:ind w:left="0" w:right="0" w:firstLine="708"/>
        <w:jc w:val="both"/>
        <w:rPr>
          <w:rFonts w:ascii="Times New Roman" w:hAnsi="Times New Roman"/>
          <w:sz w:val="24"/>
          <w:szCs w:val="24"/>
        </w:rPr>
      </w:pPr>
      <w:r>
        <w:rPr>
          <w:rFonts w:ascii="Times New Roman" w:hAnsi="Times New Roman"/>
          <w:sz w:val="24"/>
          <w:szCs w:val="24"/>
        </w:rPr>
      </w:r>
    </w:p>
    <w:p>
      <w:pPr>
        <w:pStyle w:val="NoSpacing"/>
        <w:spacing w:lineRule="auto" w:line="240"/>
        <w:ind w:left="0" w:right="0" w:hanging="0"/>
        <w:jc w:val="both"/>
        <w:rPr/>
      </w:pPr>
      <w:r>
        <w:rPr>
          <w:rFonts w:eastAsia="MS Mincho;ＭＳ 明朝" w:cs="Liberation Serif;Times New Roman" w:ascii="Times New Roman" w:hAnsi="Times New Roman"/>
          <w:b w:val="false"/>
          <w:bCs w:val="false"/>
          <w:sz w:val="24"/>
          <w:szCs w:val="24"/>
          <w:lang w:val="hu-HU"/>
        </w:rPr>
        <w:t xml:space="preserve">    </w:t>
      </w:r>
      <w:r>
        <w:rPr>
          <w:rFonts w:eastAsia="MS Mincho;ＭＳ 明朝" w:cs="Liberation Serif;Times New Roman" w:ascii="Times New Roman" w:hAnsi="Times New Roman"/>
          <w:b w:val="false"/>
          <w:bCs w:val="false"/>
          <w:sz w:val="24"/>
          <w:szCs w:val="24"/>
          <w:lang w:val="hu-HU"/>
        </w:rPr>
        <w:t xml:space="preserve">În conformitate cu prevederile </w:t>
      </w:r>
      <w:bookmarkStart w:id="7" w:name="__DdeLink__181_1283529081"/>
      <w:r>
        <w:rPr>
          <w:rFonts w:eastAsia="MS Mincho;ＭＳ 明朝" w:cs="Liberation Serif;Times New Roman" w:ascii="Times New Roman" w:hAnsi="Times New Roman"/>
          <w:b w:val="false"/>
          <w:bCs w:val="false"/>
          <w:sz w:val="24"/>
          <w:szCs w:val="24"/>
          <w:lang w:val="hu-HU"/>
        </w:rPr>
        <w:t xml:space="preserve"> art. 173 alin. (1) lit. a), </w:t>
      </w:r>
      <w:bookmarkEnd w:id="7"/>
      <w:r>
        <w:rPr>
          <w:rFonts w:eastAsia="MS Mincho;ＭＳ 明朝" w:cs="Liberation Serif;Times New Roman" w:ascii="Times New Roman" w:hAnsi="Times New Roman"/>
          <w:b w:val="false"/>
          <w:bCs w:val="false"/>
          <w:sz w:val="24"/>
          <w:szCs w:val="24"/>
          <w:lang w:val="hu-HU"/>
        </w:rPr>
        <w:t xml:space="preserve">alin. (2), lit. c), art. 196, alin. (1), lit. a) din OUG nr. 57/2019 privind Codul administrativ, cu modificările și completările ulterioare, Consiliul Județean </w:t>
      </w:r>
      <w:r>
        <w:rPr>
          <w:rFonts w:eastAsia="Calibri" w:cs="Liberation Serif;Times New Roman" w:ascii="Times New Roman" w:hAnsi="Times New Roman"/>
          <w:b w:val="false"/>
          <w:bCs w:val="false"/>
          <w:sz w:val="24"/>
          <w:szCs w:val="24"/>
          <w:lang w:val="ro-RO" w:eastAsia="ro-RO"/>
        </w:rPr>
        <w:t>aprobă regulamentul de organizare şi funcționare al consiliului județean, organigrama, statul de funcții, regulamentul de organizare şi funcționare ale aparatului de specialitate, precum şi ale instituțiilor și serviciilor publice de interes județean şi ale societăților comerciale şi regiilor autonome de interes județean.</w:t>
      </w:r>
    </w:p>
    <w:p>
      <w:pPr>
        <w:pStyle w:val="NoSpacing"/>
        <w:spacing w:lineRule="auto" w:line="240"/>
        <w:ind w:left="0" w:right="0" w:hanging="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Prin prezenta propunem modificarea Anexei nr.1 al Hotărârii Consiliului Județean Harghita nr. 322/2015, cu modificările și completările ulterioare, privind aprobarea înființării ,, Agenției de Dezvoltare Județeană Harghita” respectiv ,,Hargita Megye Fejleszt</w:t>
      </w:r>
      <w:r>
        <w:rPr>
          <w:rFonts w:ascii="Times New Roman" w:hAnsi="Times New Roman"/>
          <w:sz w:val="24"/>
          <w:szCs w:val="24"/>
          <w:lang w:val="hu-HU"/>
        </w:rPr>
        <w:t>ési Ügynöksége</w:t>
      </w:r>
      <w:r>
        <w:rPr>
          <w:rFonts w:ascii="Times New Roman" w:hAnsi="Times New Roman"/>
          <w:sz w:val="24"/>
          <w:szCs w:val="24"/>
        </w:rPr>
        <w:t xml:space="preserve">” și aprobarea </w:t>
      </w:r>
      <w:bookmarkStart w:id="8" w:name="__DdeLink__50_390029237"/>
      <w:r>
        <w:rPr>
          <w:rFonts w:ascii="Times New Roman" w:hAnsi="Times New Roman"/>
          <w:sz w:val="24"/>
          <w:szCs w:val="24"/>
        </w:rPr>
        <w:t>Regulamentului de organizare și funcționare</w:t>
      </w:r>
      <w:bookmarkEnd w:id="8"/>
      <w:r>
        <w:rPr>
          <w:rFonts w:ascii="Times New Roman" w:hAnsi="Times New Roman"/>
          <w:sz w:val="24"/>
          <w:szCs w:val="24"/>
        </w:rPr>
        <w:t>, Statului de funcții și Organigramei ale acesteia.</w:t>
      </w:r>
    </w:p>
    <w:p>
      <w:pPr>
        <w:pStyle w:val="Normal"/>
        <w:spacing w:lineRule="auto" w:line="240" w:before="0" w:after="0"/>
        <w:ind w:hanging="0"/>
        <w:jc w:val="both"/>
        <w:rPr>
          <w:rFonts w:ascii="Times New Roman" w:hAnsi="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Pentru a răspunde necesităților economico-sociale din județul Harghita, respectiv pentru </w:t>
      </w:r>
      <w:bookmarkStart w:id="9" w:name="__DdeLink__184_884483434"/>
      <w:r>
        <w:rPr>
          <w:rFonts w:cs="Times New Roman" w:ascii="Times New Roman" w:hAnsi="Times New Roman"/>
          <w:sz w:val="24"/>
          <w:szCs w:val="24"/>
        </w:rPr>
        <w:t xml:space="preserve">a se putea corela activitățile, </w:t>
      </w:r>
      <w:bookmarkEnd w:id="9"/>
      <w:r>
        <w:rPr>
          <w:rFonts w:cs="Times New Roman" w:ascii="Times New Roman" w:hAnsi="Times New Roman"/>
          <w:sz w:val="24"/>
          <w:szCs w:val="24"/>
        </w:rPr>
        <w:t>rezultatele și indicatoarele programelor implementate de agenție, considerăm că este necesar autorizarea și acreditarea organizării cursurilor de formare profesională pentru adulți.</w:t>
      </w:r>
    </w:p>
    <w:p>
      <w:pPr>
        <w:pStyle w:val="NoSpacing"/>
        <w:spacing w:lineRule="auto" w:line="240"/>
        <w:ind w:left="0" w:right="0" w:hanging="0"/>
        <w:jc w:val="both"/>
        <w:rPr/>
      </w:pPr>
      <w:r>
        <w:rPr>
          <w:rFonts w:ascii="Times New Roman" w:hAnsi="Times New Roman"/>
          <w:sz w:val="24"/>
          <w:szCs w:val="24"/>
        </w:rPr>
        <w:t xml:space="preserve">   </w:t>
      </w:r>
      <w:r>
        <w:rPr>
          <w:rFonts w:ascii="Times New Roman" w:hAnsi="Times New Roman"/>
          <w:sz w:val="24"/>
          <w:szCs w:val="24"/>
        </w:rPr>
        <w:t>Totodată, l</w:t>
      </w:r>
      <w:bookmarkStart w:id="10" w:name="__DdeLink__1116_508122863"/>
      <w:bookmarkStart w:id="11" w:name="__DdeLink__1373_1362280204"/>
      <w:r>
        <w:rPr>
          <w:rFonts w:eastAsia="Segoe UI" w:cs="Segoe UI" w:ascii="Times New Roman" w:hAnsi="Times New Roman"/>
          <w:i w:val="false"/>
          <w:iCs w:val="false"/>
          <w:color w:val="00000A"/>
          <w:sz w:val="24"/>
          <w:szCs w:val="24"/>
          <w:lang w:eastAsia="en-US" w:bidi="ar-SA"/>
        </w:rPr>
        <w:t>uând în considerare schimbările intervenite în contextul Covid-19, efectele prognozate al recentei crize sanitare, este necesar să fie adaptate în favoarea tuturor celor care își doresc o reinventare sau o reconversie profesională în domenii extrem de solicitate, care să poată fi realizată inclusiv în sistem de lucru la distanță. Necesitatea</w:t>
      </w:r>
      <w:bookmarkEnd w:id="11"/>
      <w:r>
        <w:rPr>
          <w:rFonts w:eastAsia="Segoe UI" w:cs="Segoe UI" w:ascii="Times New Roman" w:hAnsi="Times New Roman"/>
          <w:i w:val="false"/>
          <w:iCs w:val="false"/>
          <w:color w:val="00000A"/>
          <w:sz w:val="24"/>
          <w:szCs w:val="24"/>
          <w:lang w:eastAsia="en-US" w:bidi="ar-SA"/>
        </w:rPr>
        <w:t xml:space="preserve"> mult mai mare de a trăi pe meleagurile natale, de a înființa societăți de către tineri, pentru a oferi un trai familiilor, considerăm că este binevenit și necesar organizarea de cursuri de formare a adulților prin care pot însuși cunoștințe ample în domeniile în care  deja lucrează, respectiv în care vor să lucreze. </w:t>
      </w:r>
    </w:p>
    <w:p>
      <w:pPr>
        <w:pStyle w:val="NoSpacing"/>
        <w:spacing w:lineRule="auto" w:line="240"/>
        <w:ind w:left="0" w:right="0" w:hanging="0"/>
        <w:jc w:val="both"/>
        <w:rPr/>
      </w:pPr>
      <w:r>
        <w:rPr>
          <w:rFonts w:eastAsia="Segoe UI" w:cs="Segoe UI" w:ascii="Times New Roman" w:hAnsi="Times New Roman"/>
          <w:i w:val="false"/>
          <w:iCs w:val="false"/>
          <w:color w:val="00000A"/>
          <w:sz w:val="24"/>
          <w:szCs w:val="24"/>
          <w:lang w:eastAsia="en-US" w:bidi="ar-SA"/>
        </w:rPr>
        <w:t xml:space="preserve">     </w:t>
      </w:r>
      <w:r>
        <w:rPr>
          <w:rFonts w:eastAsia="Segoe UI" w:cs="Segoe UI" w:ascii="Times New Roman" w:hAnsi="Times New Roman"/>
          <w:i w:val="false"/>
          <w:iCs w:val="false"/>
          <w:color w:val="00000A"/>
          <w:sz w:val="24"/>
          <w:szCs w:val="24"/>
          <w:lang w:eastAsia="en-US" w:bidi="ar-SA"/>
        </w:rPr>
        <w:t xml:space="preserve">Cursurile de formare pentru adulți se vor autoriza, acredita și organiza </w:t>
      </w:r>
      <w:r>
        <w:rPr>
          <w:rFonts w:eastAsia="Segoe UI" w:cs="Segoe UI" w:ascii="Times New Roman" w:hAnsi="Times New Roman"/>
          <w:b w:val="false"/>
          <w:bCs w:val="false"/>
          <w:i w:val="false"/>
          <w:iCs w:val="false"/>
          <w:color w:val="000000"/>
          <w:sz w:val="24"/>
          <w:szCs w:val="24"/>
          <w:lang w:val="en-US" w:eastAsia="en-US" w:bidi="ar-SA"/>
        </w:rPr>
        <w:t>conform Ordonanței de urgență nr. 129/2000, privind formarea profesională a adulților republicată, cu modificările și completările ulterioare.</w:t>
      </w:r>
      <w:r>
        <w:rPr>
          <w:rFonts w:eastAsia="Calibri Light" w:cs="Calibri Light" w:ascii="Times New Roman" w:hAnsi="Times New Roman"/>
          <w:b w:val="false"/>
          <w:bCs w:val="false"/>
          <w:i w:val="false"/>
          <w:iCs w:val="false"/>
          <w:color w:val="00000A"/>
          <w:sz w:val="24"/>
          <w:szCs w:val="24"/>
          <w:lang w:eastAsia="en-US" w:bidi="ar-SA"/>
        </w:rPr>
        <w:t>”;</w:t>
      </w:r>
    </w:p>
    <w:p>
      <w:pPr>
        <w:pStyle w:val="NoSpacing"/>
        <w:spacing w:lineRule="auto" w:line="240"/>
        <w:ind w:left="0" w:right="0" w:hanging="0"/>
        <w:jc w:val="both"/>
        <w:rPr>
          <w:rFonts w:ascii="Times New Roman" w:hAnsi="Times New Roman"/>
          <w:sz w:val="24"/>
          <w:szCs w:val="24"/>
        </w:rPr>
      </w:pPr>
      <w:r>
        <w:rPr>
          <w:rFonts w:eastAsia="Segoe UI" w:cs="Segoe UI" w:ascii="Times New Roman" w:hAnsi="Times New Roman"/>
          <w:i w:val="false"/>
          <w:iCs w:val="false"/>
          <w:color w:val="00000A"/>
          <w:sz w:val="24"/>
          <w:szCs w:val="24"/>
          <w:lang w:eastAsia="en-US" w:bidi="ar-SA"/>
        </w:rPr>
        <w:t xml:space="preserve">    </w:t>
      </w:r>
      <w:r>
        <w:rPr>
          <w:rFonts w:eastAsia="Segoe UI" w:cs="Segoe UI" w:ascii="Times New Roman" w:hAnsi="Times New Roman"/>
          <w:i w:val="false"/>
          <w:iCs w:val="false"/>
          <w:color w:val="00000A"/>
          <w:sz w:val="24"/>
          <w:szCs w:val="24"/>
          <w:lang w:eastAsia="en-US" w:bidi="ar-SA"/>
        </w:rPr>
        <w:t xml:space="preserve">Având în vedere cele sus menționate propunem </w:t>
      </w:r>
      <w:r>
        <w:rPr>
          <w:rFonts w:eastAsia="MS Mincho" w:cs="Times New Roman" w:ascii="Times New Roman" w:hAnsi="Times New Roman"/>
          <w:b w:val="false"/>
          <w:bCs w:val="false"/>
          <w:i w:val="false"/>
          <w:iCs w:val="false"/>
          <w:color w:val="00000A"/>
          <w:sz w:val="24"/>
          <w:szCs w:val="24"/>
          <w:lang w:eastAsia="en-US" w:bidi="ar-SA"/>
        </w:rPr>
        <w:t>modificarea Anexei nr.1</w:t>
      </w:r>
      <w:r>
        <w:rPr>
          <w:rFonts w:eastAsia="Segoe UI" w:cs="Segoe UI" w:ascii="Times New Roman" w:hAnsi="Times New Roman"/>
          <w:b w:val="false"/>
          <w:bCs w:val="false"/>
          <w:i w:val="false"/>
          <w:iCs w:val="false"/>
          <w:color w:val="00000A"/>
          <w:sz w:val="24"/>
          <w:szCs w:val="24"/>
          <w:lang w:val="hu-HU" w:eastAsia="en-US" w:bidi="ar-SA"/>
        </w:rPr>
        <w:t xml:space="preserve"> prin</w:t>
      </w:r>
      <w:r>
        <w:rPr>
          <w:rFonts w:eastAsia="MS Mincho" w:cs="Times New Roman" w:ascii="Times New Roman" w:hAnsi="Times New Roman"/>
          <w:b w:val="false"/>
          <w:bCs w:val="false"/>
          <w:i w:val="false"/>
          <w:iCs w:val="false"/>
          <w:color w:val="00000A"/>
          <w:sz w:val="24"/>
          <w:szCs w:val="24"/>
          <w:lang w:val="hu-HU" w:eastAsia="en-US" w:bidi="ar-SA"/>
        </w:rPr>
        <w:t xml:space="preserve"> </w:t>
      </w:r>
      <w:bookmarkStart w:id="12" w:name="__DdeLink__547_18484529791"/>
      <w:r>
        <w:rPr>
          <w:rFonts w:eastAsia="MS Mincho" w:cs="Times New Roman" w:ascii="Times New Roman" w:hAnsi="Times New Roman"/>
          <w:b w:val="false"/>
          <w:bCs w:val="false"/>
          <w:color w:val="00000A"/>
          <w:sz w:val="24"/>
          <w:szCs w:val="24"/>
        </w:rPr>
        <w:t xml:space="preserve">introducerea </w:t>
      </w:r>
      <w:r>
        <w:rPr>
          <w:rFonts w:eastAsia="MS Mincho" w:cs="Times New Roman" w:ascii="Times New Roman" w:hAnsi="Times New Roman"/>
          <w:b/>
          <w:bCs/>
          <w:color w:val="00000A"/>
          <w:sz w:val="24"/>
          <w:szCs w:val="24"/>
        </w:rPr>
        <w:t>lit. y</w:t>
      </w:r>
      <w:r>
        <w:rPr>
          <w:rFonts w:eastAsia="MS Mincho" w:cs="Times New Roman" w:ascii="Times New Roman" w:hAnsi="Times New Roman"/>
          <w:b w:val="false"/>
          <w:bCs w:val="false"/>
          <w:color w:val="00000A"/>
          <w:sz w:val="24"/>
          <w:szCs w:val="24"/>
        </w:rPr>
        <w:t>. la art. 4. lit. D. alin. 6</w:t>
      </w:r>
      <w:bookmarkEnd w:id="12"/>
      <w:r>
        <w:rPr>
          <w:rFonts w:eastAsia="MS Mincho" w:cs="Times New Roman" w:ascii="Times New Roman" w:hAnsi="Times New Roman"/>
          <w:b w:val="false"/>
          <w:bCs w:val="false"/>
          <w:color w:val="00000A"/>
          <w:sz w:val="24"/>
          <w:szCs w:val="24"/>
        </w:rPr>
        <w:t xml:space="preserve">, </w:t>
      </w:r>
      <w:r>
        <w:rPr>
          <w:rFonts w:eastAsia="MS Mincho" w:cs="Times New Roman" w:ascii="Times New Roman" w:hAnsi="Times New Roman"/>
          <w:color w:val="00000A"/>
          <w:sz w:val="24"/>
          <w:szCs w:val="24"/>
        </w:rPr>
        <w:t xml:space="preserve">la Hotărârea Consiliului Județean Harghita nr. 322/2015, cu modificările și completările ulterioare, privind </w:t>
      </w:r>
      <w:r>
        <w:rPr>
          <w:rFonts w:eastAsia="MS Mincho" w:cs="Times New Roman" w:ascii="Times New Roman" w:hAnsi="Times New Roman"/>
          <w:i w:val="false"/>
          <w:iCs w:val="false"/>
          <w:color w:val="00000A"/>
          <w:sz w:val="24"/>
          <w:szCs w:val="24"/>
        </w:rPr>
        <w:t>aprobarea</w:t>
      </w:r>
      <w:r>
        <w:rPr>
          <w:rFonts w:eastAsia="MS Mincho" w:cs="Times New Roman" w:ascii="Times New Roman" w:hAnsi="Times New Roman"/>
          <w:color w:val="00000A"/>
          <w:sz w:val="24"/>
          <w:szCs w:val="24"/>
        </w:rPr>
        <w:t xml:space="preserve"> înființării ,,Agenției de Dezvoltare Județeană Harghita”, respectiv ,,Hargita Megye Fejlesztési Ügynöksége” și aprobarea Regulamentului de organizare și funcționare, Statului de funcții și Organigramei ale acesteia, prin înlocuirea acesteia cu Anexa nr. 1 privind Regulamentul de organizare și funcționare al </w:t>
      </w:r>
      <w:r>
        <w:rPr>
          <w:rFonts w:eastAsia="MS Mincho" w:cs="Times New Roman" w:ascii="Times New Roman" w:hAnsi="Times New Roman"/>
          <w:b w:val="false"/>
          <w:bCs w:val="false"/>
          <w:color w:val="00000A"/>
          <w:sz w:val="24"/>
          <w:szCs w:val="24"/>
        </w:rPr>
        <w:t>,,Agenției de Dezvoltare Județeană Harghita</w:t>
      </w:r>
      <w:r>
        <w:rPr>
          <w:rFonts w:eastAsia="MS Mincho" w:cs="Times New Roman" w:ascii="Times New Roman" w:hAnsi="Times New Roman"/>
          <w:b w:val="false"/>
          <w:bCs w:val="false"/>
          <w:color w:val="00000A"/>
          <w:sz w:val="24"/>
          <w:szCs w:val="24"/>
          <w:lang w:val="en-US"/>
        </w:rPr>
        <w:t>”,</w:t>
      </w:r>
      <w:r>
        <w:rPr>
          <w:rFonts w:eastAsia="MS Mincho" w:cs="Times New Roman" w:ascii="Times New Roman" w:hAnsi="Times New Roman"/>
          <w:b w:val="false"/>
          <w:bCs w:val="false"/>
          <w:i w:val="false"/>
          <w:iCs w:val="false"/>
          <w:color w:val="00000A"/>
          <w:sz w:val="24"/>
          <w:szCs w:val="24"/>
          <w:lang w:val="en-US"/>
        </w:rPr>
        <w:t xml:space="preserve"> cu următorul cuprins</w:t>
      </w:r>
      <w:r>
        <w:rPr>
          <w:rFonts w:eastAsia="MS Mincho" w:cs="Times New Roman" w:ascii="Times New Roman" w:hAnsi="Times New Roman"/>
          <w:color w:val="00000A"/>
          <w:sz w:val="24"/>
          <w:szCs w:val="24"/>
        </w:rPr>
        <w:t xml:space="preserve">: </w:t>
      </w:r>
    </w:p>
    <w:p>
      <w:pPr>
        <w:pStyle w:val="Normal"/>
        <w:spacing w:lineRule="auto" w:line="240"/>
        <w:jc w:val="both"/>
        <w:rPr>
          <w:rFonts w:ascii="Times New Roman" w:hAnsi="Times New Roman"/>
          <w:sz w:val="24"/>
          <w:szCs w:val="24"/>
        </w:rPr>
      </w:pPr>
      <w:r>
        <w:rPr>
          <w:rFonts w:eastAsia="Calibri Light" w:cs="Calibri Light" w:ascii="Times New Roman" w:hAnsi="Times New Roman"/>
          <w:b w:val="false"/>
          <w:bCs w:val="false"/>
          <w:color w:val="00000A"/>
          <w:sz w:val="24"/>
          <w:szCs w:val="24"/>
        </w:rPr>
        <w:t>y) „</w:t>
      </w:r>
      <w:r>
        <w:rPr>
          <w:rFonts w:eastAsia="Segoe UI" w:cs="Segoe UI" w:ascii="Times New Roman" w:hAnsi="Times New Roman"/>
          <w:b w:val="false"/>
          <w:bCs w:val="false"/>
          <w:i w:val="false"/>
          <w:iCs w:val="false"/>
          <w:color w:val="000000"/>
          <w:sz w:val="24"/>
          <w:szCs w:val="24"/>
          <w:lang w:val="en-US" w:eastAsia="en-US" w:bidi="ar-SA"/>
        </w:rPr>
        <w:t xml:space="preserve">organizare de cursuri de formare profesională a adulților, </w:t>
      </w:r>
      <w:bookmarkStart w:id="13" w:name="__DdeLink__186_909228697"/>
      <w:r>
        <w:rPr>
          <w:rFonts w:eastAsia="Segoe UI" w:cs="Segoe UI" w:ascii="Times New Roman" w:hAnsi="Times New Roman"/>
          <w:b w:val="false"/>
          <w:bCs w:val="false"/>
          <w:i w:val="false"/>
          <w:iCs w:val="false"/>
          <w:color w:val="000000"/>
          <w:sz w:val="24"/>
          <w:szCs w:val="24"/>
          <w:lang w:val="en-US" w:eastAsia="en-US" w:bidi="ar-SA"/>
        </w:rPr>
        <w:t>conform Ordonanței de urgență nr. 129/2000, privind formarea profesională a adulților republicată, cu modificările și completările ulterioare.</w:t>
      </w:r>
      <w:bookmarkEnd w:id="10"/>
      <w:bookmarkEnd w:id="13"/>
      <w:r>
        <w:rPr>
          <w:rFonts w:eastAsia="Calibri Light" w:cs="Calibri Light" w:ascii="Times New Roman" w:hAnsi="Times New Roman"/>
          <w:b w:val="false"/>
          <w:bCs w:val="false"/>
          <w:color w:val="00000A"/>
          <w:sz w:val="24"/>
          <w:szCs w:val="24"/>
        </w:rPr>
        <w:t>”;</w:t>
      </w:r>
    </w:p>
    <w:p>
      <w:pPr>
        <w:pStyle w:val="Szvegtrzs21"/>
        <w:shd w:val="clear" w:color="auto" w:fill="auto"/>
        <w:spacing w:lineRule="auto" w:line="240"/>
        <w:ind w:left="0" w:right="0" w:hanging="0"/>
        <w:jc w:val="both"/>
        <w:rPr>
          <w:rFonts w:ascii="Times New Roman" w:hAnsi="Times New Roman"/>
          <w:sz w:val="24"/>
          <w:szCs w:val="24"/>
        </w:rPr>
      </w:pPr>
      <w:r>
        <w:rPr>
          <w:rFonts w:ascii="Times New Roman" w:hAnsi="Times New Roman"/>
          <w:b w:val="false"/>
          <w:bCs w:val="false"/>
          <w:sz w:val="24"/>
          <w:szCs w:val="24"/>
        </w:rPr>
        <w:t xml:space="preserve">    </w:t>
      </w:r>
      <w:r>
        <w:rPr>
          <w:rFonts w:ascii="Times New Roman" w:hAnsi="Times New Roman"/>
          <w:sz w:val="24"/>
          <w:szCs w:val="24"/>
        </w:rPr>
        <w:t>Având în vedere cele de mai sus, propunem spre aprobare proiectul de hotărâre privind aprobarea modificării Anexei nr.1 al Hotărârii Consiliului Județean Harghita nr. 322/2015, cu modificările și completările ulterioare, privind aprobarea înființării ,, Agenției de Dezvoltare Județeană Harghita” respectiv ,,Hargita Megye Fejleszt</w:t>
      </w:r>
      <w:r>
        <w:rPr>
          <w:rFonts w:ascii="Times New Roman" w:hAnsi="Times New Roman"/>
          <w:sz w:val="24"/>
          <w:szCs w:val="24"/>
          <w:lang w:val="hu-HU"/>
        </w:rPr>
        <w:t>ési Ügynöksége</w:t>
      </w:r>
      <w:r>
        <w:rPr>
          <w:rFonts w:ascii="Times New Roman" w:hAnsi="Times New Roman"/>
          <w:sz w:val="24"/>
          <w:szCs w:val="24"/>
        </w:rPr>
        <w:t>” și aprobarea Regulamentului de organizare și funcționare, Statului de funcții și Organigramei ale acesteia conform Anexei nr. 1 privind Regulamentul de organizare și funcționare al ,,Agenției de Dezvoltare Județeană Harghita</w:t>
      </w:r>
      <w:r>
        <w:rPr>
          <w:rFonts w:ascii="Times New Roman" w:hAnsi="Times New Roman"/>
          <w:sz w:val="24"/>
          <w:szCs w:val="24"/>
          <w:lang w:val="hu-HU"/>
        </w:rPr>
        <w:t>”,.</w:t>
      </w:r>
    </w:p>
    <w:p>
      <w:pPr>
        <w:pStyle w:val="NoSpacing"/>
        <w:spacing w:lineRule="auto" w:line="240"/>
        <w:jc w:val="both"/>
        <w:rPr>
          <w:rFonts w:ascii="Times New Roman" w:hAnsi="Times New Roman"/>
          <w:sz w:val="24"/>
          <w:szCs w:val="24"/>
        </w:rPr>
      </w:pPr>
      <w:r>
        <w:rPr>
          <w:rFonts w:ascii="Times New Roman" w:hAnsi="Times New Roman"/>
          <w:sz w:val="24"/>
          <w:szCs w:val="24"/>
        </w:rPr>
      </w:r>
    </w:p>
    <w:p>
      <w:pPr>
        <w:pStyle w:val="NoSpacing"/>
        <w:spacing w:lineRule="auto" w:line="240"/>
        <w:jc w:val="both"/>
        <w:rPr>
          <w:rFonts w:ascii="Times New Roman" w:hAnsi="Times New Roman"/>
          <w:sz w:val="24"/>
          <w:szCs w:val="24"/>
        </w:rPr>
      </w:pPr>
      <w:r>
        <w:rPr>
          <w:rFonts w:ascii="Times New Roman" w:hAnsi="Times New Roman"/>
          <w:sz w:val="24"/>
          <w:szCs w:val="24"/>
        </w:rPr>
      </w:r>
    </w:p>
    <w:p>
      <w:pPr>
        <w:pStyle w:val="NoSpacing"/>
        <w:spacing w:lineRule="auto" w:line="240"/>
        <w:jc w:val="both"/>
        <w:rPr>
          <w:rFonts w:ascii="Times New Roman" w:hAnsi="Times New Roman"/>
          <w:sz w:val="24"/>
          <w:szCs w:val="24"/>
        </w:rPr>
      </w:pPr>
      <w:r>
        <w:rPr>
          <w:rFonts w:ascii="Times New Roman" w:hAnsi="Times New Roman"/>
          <w:sz w:val="24"/>
          <w:szCs w:val="24"/>
        </w:rPr>
      </w:r>
    </w:p>
    <w:p>
      <w:pPr>
        <w:pStyle w:val="NoSpacing"/>
        <w:spacing w:lineRule="auto" w:line="240"/>
        <w:jc w:val="both"/>
        <w:rPr>
          <w:rFonts w:ascii="Times New Roman" w:hAnsi="Times New Roman"/>
          <w:sz w:val="24"/>
          <w:szCs w:val="24"/>
        </w:rPr>
      </w:pPr>
      <w:r>
        <w:rPr>
          <w:rFonts w:ascii="Times New Roman" w:hAnsi="Times New Roman"/>
          <w:sz w:val="24"/>
          <w:szCs w:val="24"/>
        </w:rPr>
      </w:r>
    </w:p>
    <w:p>
      <w:pPr>
        <w:pStyle w:val="NoSpacing"/>
        <w:spacing w:lineRule="auto" w:line="240"/>
        <w:jc w:val="both"/>
        <w:rPr>
          <w:rFonts w:ascii="Times New Roman" w:hAnsi="Times New Roman"/>
          <w:sz w:val="24"/>
          <w:szCs w:val="24"/>
        </w:rPr>
      </w:pPr>
      <w:r>
        <w:rPr>
          <w:rFonts w:ascii="Times New Roman" w:hAnsi="Times New Roman"/>
          <w:sz w:val="24"/>
          <w:szCs w:val="24"/>
        </w:rPr>
      </w:r>
    </w:p>
    <w:p>
      <w:pPr>
        <w:pStyle w:val="NoSpacing"/>
        <w:spacing w:lineRule="auto" w:line="240"/>
        <w:jc w:val="both"/>
        <w:rPr>
          <w:rFonts w:ascii="Times New Roman" w:hAnsi="Times New Roman"/>
          <w:sz w:val="24"/>
          <w:szCs w:val="24"/>
        </w:rPr>
      </w:pPr>
      <w:r>
        <w:rPr>
          <w:rFonts w:ascii="Times New Roman" w:hAnsi="Times New Roman"/>
          <w:sz w:val="24"/>
          <w:szCs w:val="24"/>
        </w:rPr>
      </w:r>
    </w:p>
    <w:p>
      <w:pPr>
        <w:pStyle w:val="NoSpacing"/>
        <w:spacing w:lineRule="auto" w:line="240"/>
        <w:jc w:val="both"/>
        <w:rPr>
          <w:rFonts w:ascii="Times New Roman" w:hAnsi="Times New Roman"/>
          <w:sz w:val="24"/>
          <w:szCs w:val="24"/>
        </w:rPr>
      </w:pPr>
      <w:r>
        <w:rPr>
          <w:rFonts w:ascii="Times New Roman" w:hAnsi="Times New Roman"/>
          <w:sz w:val="24"/>
          <w:szCs w:val="24"/>
        </w:rPr>
      </w:r>
    </w:p>
    <w:p>
      <w:pPr>
        <w:pStyle w:val="NoSpacing"/>
        <w:spacing w:lineRule="auto" w:line="240"/>
        <w:jc w:val="both"/>
        <w:rPr>
          <w:rFonts w:ascii="Times New Roman" w:hAnsi="Times New Roman"/>
          <w:sz w:val="24"/>
          <w:szCs w:val="24"/>
        </w:rPr>
      </w:pPr>
      <w:r>
        <w:rPr>
          <w:rFonts w:ascii="Times New Roman" w:hAnsi="Times New Roman"/>
          <w:sz w:val="24"/>
          <w:szCs w:val="24"/>
        </w:rPr>
        <w:t>Miercurea Ciuc, _______________/2020</w:t>
      </w:r>
    </w:p>
    <w:p>
      <w:pPr>
        <w:pStyle w:val="NoSpacing"/>
        <w:spacing w:lineRule="auto" w:line="240"/>
        <w:jc w:val="both"/>
        <w:rPr>
          <w:rFonts w:ascii="Times New Roman" w:hAnsi="Times New Roman"/>
          <w:sz w:val="24"/>
          <w:szCs w:val="24"/>
        </w:rPr>
      </w:pPr>
      <w:r>
        <w:rPr>
          <w:rFonts w:ascii="Times New Roman" w:hAnsi="Times New Roman"/>
          <w:sz w:val="24"/>
          <w:szCs w:val="24"/>
        </w:rPr>
      </w:r>
    </w:p>
    <w:p>
      <w:pPr>
        <w:pStyle w:val="NoSpacing"/>
        <w:spacing w:lineRule="auto" w:line="240"/>
        <w:jc w:val="both"/>
        <w:rPr>
          <w:rFonts w:ascii="Times New Roman" w:hAnsi="Times New Roman"/>
          <w:sz w:val="24"/>
          <w:szCs w:val="24"/>
        </w:rPr>
      </w:pPr>
      <w:r>
        <w:rPr>
          <w:rFonts w:ascii="Times New Roman" w:hAnsi="Times New Roman"/>
          <w:sz w:val="24"/>
          <w:szCs w:val="24"/>
        </w:rPr>
      </w:r>
    </w:p>
    <w:p>
      <w:pPr>
        <w:pStyle w:val="NoSpacing"/>
        <w:spacing w:lineRule="auto" w:line="240"/>
        <w:jc w:val="center"/>
        <w:rPr>
          <w:rFonts w:ascii="Times New Roman" w:hAnsi="Times New Roman"/>
          <w:sz w:val="24"/>
          <w:szCs w:val="24"/>
        </w:rPr>
      </w:pPr>
      <w:r>
        <w:rPr>
          <w:rFonts w:ascii="Times New Roman" w:hAnsi="Times New Roman"/>
          <w:sz w:val="24"/>
          <w:szCs w:val="24"/>
        </w:rPr>
        <w:t>Cilip Árpád</w:t>
      </w:r>
    </w:p>
    <w:p>
      <w:pPr>
        <w:pStyle w:val="NoSpacing"/>
        <w:spacing w:lineRule="auto" w:line="240"/>
        <w:jc w:val="center"/>
        <w:rPr/>
      </w:pPr>
      <w:r>
        <w:rPr>
          <w:rFonts w:ascii="Times New Roman" w:hAnsi="Times New Roman"/>
          <w:sz w:val="24"/>
          <w:szCs w:val="24"/>
        </w:rPr>
        <w:t>Director</w:t>
      </w:r>
    </w:p>
    <w:sectPr>
      <w:type w:val="nextPage"/>
      <w:pgSz w:w="11906" w:h="16838"/>
      <w:pgMar w:left="1417" w:right="1417" w:header="0" w:top="870" w:footer="0" w:bottom="1403"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ourier New">
    <w:charset w:val="01"/>
    <w:family w:val="roman"/>
    <w:pitch w:val="variable"/>
  </w:font>
  <w:font w:name="Arial">
    <w:charset w:val="01"/>
    <w:family w:val="roman"/>
    <w:pitch w:val="variable"/>
  </w:font>
  <w:font w:name="Segoe UI">
    <w:charset w:val="01"/>
    <w:family w:val="roman"/>
    <w:pitch w:val="variable"/>
  </w:font>
  <w:font w:name="OpenSymbol">
    <w:altName w:val="Arial Unicode MS"/>
    <w:charset w:val="01"/>
    <w:family w:val="roman"/>
    <w:pitch w:val="variable"/>
  </w:font>
  <w:font w:name="Times New Roman">
    <w:charset w:val="01"/>
    <w:family w:val="roman"/>
    <w:pitch w:val="variable"/>
  </w:font>
  <w:font w:name="Liberation Sans">
    <w:altName w:val="Arial"/>
    <w:charset w:val="01"/>
    <w:family w:val="roman"/>
    <w:pitch w:val="variable"/>
  </w:font>
</w:fonts>
</file>

<file path=word/settings.xml><?xml version="1.0" encoding="utf-8"?>
<w:settings xmlns:w="http://schemas.openxmlformats.org/wordprocessingml/2006/main">
  <w:zoom w:percent="140"/>
  <w:defaultTabStop w:val="708"/>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DejaVu Sans"/>
        <w:sz w:val="20"/>
        <w:szCs w:val="22"/>
        <w:lang w:val="ro-RO" w:eastAsia="en-US" w:bidi="ar-SA"/>
      </w:rPr>
    </w:rPrDefault>
    <w:pPrDefault>
      <w:pPr>
        <w:spacing w:lineRule="auto" w:line="276"/>
      </w:pPr>
    </w:pPrDefault>
  </w:docDefaults>
  <w:style w:type="paragraph" w:styleId="Normal">
    <w:name w:val="Normal"/>
    <w:qFormat/>
    <w:pPr>
      <w:widowControl w:val="false"/>
      <w:overflowPunct w:val="true"/>
      <w:bidi w:val="0"/>
      <w:spacing w:lineRule="auto" w:line="240" w:before="0" w:after="0"/>
      <w:jc w:val="left"/>
    </w:pPr>
    <w:rPr>
      <w:rFonts w:ascii="Courier New" w:hAnsi="Courier New" w:eastAsia="Courier New" w:cs="Courier New"/>
      <w:color w:val="000000"/>
      <w:sz w:val="24"/>
      <w:szCs w:val="24"/>
      <w:lang w:val="ro-RO" w:eastAsia="ro-RO" w:bidi="ro-RO"/>
    </w:rPr>
  </w:style>
  <w:style w:type="paragraph" w:styleId="Titlu2">
    <w:name w:val="Titlu 2"/>
    <w:basedOn w:val="Normal"/>
    <w:next w:val="Normal"/>
    <w:qFormat/>
    <w:pPr>
      <w:keepNext/>
      <w:spacing w:before="240" w:after="60"/>
      <w:jc w:val="left"/>
      <w:outlineLvl w:val="1"/>
    </w:pPr>
    <w:rPr>
      <w:rFonts w:ascii="Arial" w:hAnsi="Arial" w:cs="Arial"/>
      <w:b/>
      <w:bCs/>
      <w:i/>
      <w:iCs/>
      <w:sz w:val="28"/>
      <w:szCs w:val="28"/>
    </w:rPr>
  </w:style>
  <w:style w:type="character" w:styleId="DefaultParagraphFont">
    <w:name w:val="Default Paragraph Font"/>
    <w:qFormat/>
    <w:rPr/>
  </w:style>
  <w:style w:type="character" w:styleId="Szvegtrzs2">
    <w:name w:val="Szövegtörzs (2)_"/>
    <w:basedOn w:val="DefaultParagraphFont"/>
    <w:qFormat/>
    <w:rPr>
      <w:rFonts w:ascii="Segoe UI" w:hAnsi="Segoe UI" w:eastAsia="Segoe UI" w:cs="Segoe UI"/>
      <w:highlight w:val="white"/>
    </w:rPr>
  </w:style>
  <w:style w:type="character" w:styleId="Szvegtrzs2Flkvr">
    <w:name w:val="Szövegtörzs (2) + Félkövér"/>
    <w:basedOn w:val="Szvegtrzs2"/>
    <w:qFormat/>
    <w:rPr>
      <w:rFonts w:ascii="Segoe UI" w:hAnsi="Segoe UI" w:eastAsia="Segoe UI" w:cs="Segoe UI"/>
      <w:color w:val="000000"/>
      <w:spacing w:val="0"/>
      <w:w w:val="100"/>
      <w:highlight w:val="white"/>
      <w:lang w:val="ro-RO" w:eastAsia="ro-RO" w:bidi="ro-RO"/>
    </w:rPr>
  </w:style>
  <w:style w:type="character" w:styleId="Strong">
    <w:name w:val="Strong"/>
    <w:qFormat/>
    <w:rPr>
      <w:b/>
      <w:bCs/>
    </w:rPr>
  </w:style>
  <w:style w:type="character" w:styleId="LegturInternet">
    <w:name w:val="Legătură Internet"/>
    <w:qFormat/>
    <w:rPr>
      <w:color w:val="0000FF"/>
      <w:u w:val="single"/>
    </w:rPr>
  </w:style>
  <w:style w:type="character" w:styleId="ListLabel1">
    <w:name w:val="ListLabel 1"/>
    <w:qFormat/>
    <w:rPr>
      <w:rFonts w:eastAsia="Segoe UI" w:cs="Segoe UI"/>
    </w:rPr>
  </w:style>
  <w:style w:type="character" w:styleId="ListLabel2">
    <w:name w:val="ListLabel 2"/>
    <w:qFormat/>
    <w:rPr>
      <w:rFonts w:cs="Courier New"/>
    </w:rPr>
  </w:style>
  <w:style w:type="character" w:styleId="ListLabel3">
    <w:name w:val="ListLabel 3"/>
    <w:qFormat/>
    <w:rPr>
      <w:b w:val="false"/>
      <w:bCs w:val="false"/>
      <w:i w:val="false"/>
      <w:iCs w:val="false"/>
      <w:caps w:val="false"/>
      <w:smallCaps w:val="false"/>
      <w:strike w:val="false"/>
      <w:dstrike w:val="false"/>
      <w:color w:val="000000"/>
      <w:spacing w:val="0"/>
      <w:w w:val="100"/>
      <w:sz w:val="22"/>
      <w:szCs w:val="22"/>
      <w:u w:val="none"/>
      <w:lang w:val="ro-RO" w:eastAsia="ro-RO" w:bidi="ro-RO"/>
    </w:rPr>
  </w:style>
  <w:style w:type="character" w:styleId="Buline">
    <w:name w:val="Buline"/>
    <w:qFormat/>
    <w:rPr>
      <w:rFonts w:ascii="OpenSymbol" w:hAnsi="OpenSymbol" w:eastAsia="OpenSymbol" w:cs="OpenSymbol"/>
    </w:rPr>
  </w:style>
  <w:style w:type="character" w:styleId="Simboluridenumerotare">
    <w:name w:val="Simboluri de numerotare"/>
    <w:qFormat/>
    <w:rPr/>
  </w:style>
  <w:style w:type="character" w:styleId="ListLabel12">
    <w:name w:val="ListLabel 12"/>
    <w:qFormat/>
    <w:rPr>
      <w:b w:val="false"/>
      <w:bCs w:val="false"/>
      <w:i w:val="false"/>
      <w:iCs w:val="false"/>
      <w:caps w:val="false"/>
      <w:smallCaps w:val="false"/>
      <w:strike w:val="false"/>
      <w:dstrike w:val="false"/>
      <w:color w:val="000000"/>
      <w:spacing w:val="0"/>
      <w:w w:val="100"/>
      <w:sz w:val="22"/>
      <w:szCs w:val="22"/>
      <w:u w:val="none"/>
      <w:lang w:val="ro-RO" w:eastAsia="ro-RO" w:bidi="ro-RO"/>
    </w:rPr>
  </w:style>
  <w:style w:type="character" w:styleId="ListLabel13">
    <w:name w:val="ListLabel 13"/>
    <w:qFormat/>
    <w:rPr>
      <w:b w:val="false"/>
      <w:bCs w:val="false"/>
      <w:i w:val="false"/>
      <w:iCs w:val="false"/>
      <w:caps w:val="false"/>
      <w:smallCaps w:val="false"/>
      <w:strike w:val="false"/>
      <w:dstrike w:val="false"/>
      <w:color w:val="000000"/>
      <w:spacing w:val="0"/>
      <w:w w:val="100"/>
      <w:sz w:val="22"/>
      <w:szCs w:val="22"/>
      <w:u w:val="none"/>
      <w:lang w:val="ro-RO" w:eastAsia="ro-RO" w:bidi="ro-RO"/>
    </w:rPr>
  </w:style>
  <w:style w:type="character" w:styleId="WW8Num4z0">
    <w:name w:val="WW8Num4z0"/>
    <w:qFormat/>
    <w:rPr>
      <w:rFonts w:ascii="Calibri" w:hAnsi="Calibri" w:cs="Times New Roman"/>
      <w:sz w:val="26"/>
      <w:szCs w:val="26"/>
      <w:lang w:val="hu-HU" w:eastAsia="ro-RO"/>
    </w:rPr>
  </w:style>
  <w:style w:type="character" w:styleId="InternetLink">
    <w:name w:val="Internet Link"/>
    <w:qFormat/>
    <w:rPr>
      <w:color w:val="000080"/>
      <w:u w:val="single"/>
      <w:lang w:val="zxx" w:eastAsia="zxx" w:bidi="zxx"/>
    </w:rPr>
  </w:style>
  <w:style w:type="character" w:styleId="ListLabel130">
    <w:name w:val="ListLabel 130"/>
    <w:qFormat/>
    <w:rPr>
      <w:rFonts w:ascii="Times New Roman" w:hAnsi="Times New Roman" w:cs="Segoe UI"/>
    </w:rPr>
  </w:style>
  <w:style w:type="character" w:styleId="ListLabel131">
    <w:name w:val="ListLabel 131"/>
    <w:qFormat/>
    <w:rPr>
      <w:rFonts w:cs="Courier New"/>
    </w:rPr>
  </w:style>
  <w:style w:type="character" w:styleId="ListLabel132">
    <w:name w:val="ListLabel 132"/>
    <w:qFormat/>
    <w:rPr>
      <w:rFonts w:cs="Wingdings"/>
    </w:rPr>
  </w:style>
  <w:style w:type="character" w:styleId="ListLabel133">
    <w:name w:val="ListLabel 133"/>
    <w:qFormat/>
    <w:rPr>
      <w:rFonts w:cs="Symbol"/>
    </w:rPr>
  </w:style>
  <w:style w:type="character" w:styleId="ListLabel134">
    <w:name w:val="ListLabel 134"/>
    <w:qFormat/>
    <w:rPr>
      <w:rFonts w:ascii="Liberation Serif" w:hAnsi="Liberation Serif" w:cs="Segoe UI"/>
      <w:sz w:val="26"/>
    </w:rPr>
  </w:style>
  <w:style w:type="character" w:styleId="ListLabel135">
    <w:name w:val="ListLabel 135"/>
    <w:qFormat/>
    <w:rPr>
      <w:rFonts w:cs="Courier New"/>
    </w:rPr>
  </w:style>
  <w:style w:type="character" w:styleId="ListLabel136">
    <w:name w:val="ListLabel 136"/>
    <w:qFormat/>
    <w:rPr>
      <w:rFonts w:cs="Wingdings"/>
    </w:rPr>
  </w:style>
  <w:style w:type="character" w:styleId="ListLabel137">
    <w:name w:val="ListLabel 137"/>
    <w:qFormat/>
    <w:rPr>
      <w:rFonts w:cs="Symbol"/>
    </w:rPr>
  </w:style>
  <w:style w:type="character" w:styleId="ListLabel138">
    <w:name w:val="ListLabel 138"/>
    <w:qFormat/>
    <w:rPr>
      <w:rFonts w:ascii="Liberation Serif" w:hAnsi="Liberation Serif" w:cs="Segoe UI"/>
      <w:sz w:val="26"/>
    </w:rPr>
  </w:style>
  <w:style w:type="character" w:styleId="ListLabel139">
    <w:name w:val="ListLabel 139"/>
    <w:qFormat/>
    <w:rPr>
      <w:rFonts w:cs="Courier New"/>
    </w:rPr>
  </w:style>
  <w:style w:type="character" w:styleId="ListLabel140">
    <w:name w:val="ListLabel 140"/>
    <w:qFormat/>
    <w:rPr>
      <w:rFonts w:cs="Wingdings"/>
    </w:rPr>
  </w:style>
  <w:style w:type="character" w:styleId="ListLabel141">
    <w:name w:val="ListLabel 141"/>
    <w:qFormat/>
    <w:rPr>
      <w:rFonts w:cs="Symbol"/>
    </w:rPr>
  </w:style>
  <w:style w:type="character" w:styleId="ListLabel142">
    <w:name w:val="ListLabel 142"/>
    <w:qFormat/>
    <w:rPr>
      <w:rFonts w:ascii="Liberation Serif" w:hAnsi="Liberation Serif" w:cs="Segoe UI"/>
      <w:sz w:val="26"/>
    </w:rPr>
  </w:style>
  <w:style w:type="character" w:styleId="ListLabel143">
    <w:name w:val="ListLabel 143"/>
    <w:qFormat/>
    <w:rPr>
      <w:rFonts w:cs="Courier New"/>
    </w:rPr>
  </w:style>
  <w:style w:type="character" w:styleId="ListLabel144">
    <w:name w:val="ListLabel 144"/>
    <w:qFormat/>
    <w:rPr>
      <w:rFonts w:cs="Wingdings"/>
    </w:rPr>
  </w:style>
  <w:style w:type="character" w:styleId="ListLabel145">
    <w:name w:val="ListLabel 145"/>
    <w:qFormat/>
    <w:rPr>
      <w:rFonts w:cs="Symbol"/>
    </w:rPr>
  </w:style>
  <w:style w:type="character" w:styleId="ListLabel146">
    <w:name w:val="ListLabel 146"/>
    <w:qFormat/>
    <w:rPr>
      <w:rFonts w:ascii="Liberation Serif" w:hAnsi="Liberation Serif" w:cs="Segoe UI"/>
      <w:sz w:val="26"/>
    </w:rPr>
  </w:style>
  <w:style w:type="character" w:styleId="ListLabel147">
    <w:name w:val="ListLabel 147"/>
    <w:qFormat/>
    <w:rPr>
      <w:rFonts w:cs="Courier New"/>
    </w:rPr>
  </w:style>
  <w:style w:type="character" w:styleId="ListLabel148">
    <w:name w:val="ListLabel 148"/>
    <w:qFormat/>
    <w:rPr>
      <w:rFonts w:cs="Wingdings"/>
    </w:rPr>
  </w:style>
  <w:style w:type="character" w:styleId="ListLabel149">
    <w:name w:val="ListLabel 149"/>
    <w:qFormat/>
    <w:rPr>
      <w:rFonts w:cs="Symbol"/>
    </w:rPr>
  </w:style>
  <w:style w:type="character" w:styleId="Internethivatkozs">
    <w:name w:val="Internet-hivatkozás"/>
    <w:qFormat/>
    <w:rPr>
      <w:color w:val="000080"/>
      <w:u w:val="single"/>
      <w:lang w:val="zxx" w:eastAsia="zxx" w:bidi="zxx"/>
    </w:rPr>
  </w:style>
  <w:style w:type="character" w:styleId="ListLabel150">
    <w:name w:val="ListLabel 150"/>
    <w:qFormat/>
    <w:rPr>
      <w:rFonts w:ascii="Liberation Serif" w:hAnsi="Liberation Serif" w:cs="Segoe UI"/>
      <w:sz w:val="26"/>
    </w:rPr>
  </w:style>
  <w:style w:type="character" w:styleId="ListLabel151">
    <w:name w:val="ListLabel 151"/>
    <w:qFormat/>
    <w:rPr>
      <w:rFonts w:cs="Courier New"/>
    </w:rPr>
  </w:style>
  <w:style w:type="character" w:styleId="ListLabel152">
    <w:name w:val="ListLabel 152"/>
    <w:qFormat/>
    <w:rPr>
      <w:rFonts w:cs="Wingdings"/>
    </w:rPr>
  </w:style>
  <w:style w:type="character" w:styleId="ListLabel153">
    <w:name w:val="ListLabel 153"/>
    <w:qFormat/>
    <w:rPr>
      <w:rFonts w:cs="Symbol"/>
    </w:rPr>
  </w:style>
  <w:style w:type="character" w:styleId="ListLabel154">
    <w:name w:val="ListLabel 154"/>
    <w:qFormat/>
    <w:rPr>
      <w:rFonts w:ascii="Liberation Serif" w:hAnsi="Liberation Serif" w:cs="Segoe UI"/>
      <w:sz w:val="26"/>
    </w:rPr>
  </w:style>
  <w:style w:type="character" w:styleId="ListLabel155">
    <w:name w:val="ListLabel 155"/>
    <w:qFormat/>
    <w:rPr>
      <w:rFonts w:cs="Courier New"/>
    </w:rPr>
  </w:style>
  <w:style w:type="character" w:styleId="ListLabel156">
    <w:name w:val="ListLabel 156"/>
    <w:qFormat/>
    <w:rPr>
      <w:rFonts w:cs="Wingdings"/>
    </w:rPr>
  </w:style>
  <w:style w:type="character" w:styleId="ListLabel157">
    <w:name w:val="ListLabel 157"/>
    <w:qFormat/>
    <w:rPr>
      <w:rFonts w:cs="Symbol"/>
    </w:rPr>
  </w:style>
  <w:style w:type="paragraph" w:styleId="Stiltitlu">
    <w:name w:val="Stil titlu"/>
    <w:basedOn w:val="Normal"/>
    <w:next w:val="Corptext"/>
    <w:qFormat/>
    <w:pPr>
      <w:keepNext/>
      <w:spacing w:before="240" w:after="120"/>
    </w:pPr>
    <w:rPr>
      <w:rFonts w:ascii="Liberation Sans" w:hAnsi="Liberation Sans" w:eastAsia="Droid Sans Fallback" w:cs="FreeSans"/>
      <w:sz w:val="28"/>
      <w:szCs w:val="28"/>
    </w:rPr>
  </w:style>
  <w:style w:type="paragraph" w:styleId="Corptext">
    <w:name w:val="Corp text"/>
    <w:basedOn w:val="Normal"/>
    <w:qFormat/>
    <w:pPr>
      <w:spacing w:lineRule="auto" w:line="288" w:before="0" w:after="140"/>
    </w:pPr>
    <w:rPr/>
  </w:style>
  <w:style w:type="paragraph" w:styleId="List">
    <w:name w:val="Listă"/>
    <w:basedOn w:val="Corptext"/>
    <w:qFormat/>
    <w:pPr/>
    <w:rPr>
      <w:rFonts w:cs="FreeSans"/>
    </w:rPr>
  </w:style>
  <w:style w:type="paragraph" w:styleId="Legend">
    <w:name w:val="Legendă"/>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Cmsor">
    <w:name w:val="Címsor"/>
    <w:basedOn w:val="Normal"/>
    <w:qFormat/>
    <w:pPr>
      <w:keepNext/>
      <w:spacing w:before="240" w:after="120"/>
    </w:pPr>
    <w:rPr>
      <w:rFonts w:ascii="Liberation Sans" w:hAnsi="Liberation Sans" w:eastAsia="Droid Sans Fallback" w:cs="FreeSans"/>
      <w:sz w:val="28"/>
      <w:szCs w:val="28"/>
    </w:rPr>
  </w:style>
  <w:style w:type="paragraph" w:styleId="Szvegtrzs">
    <w:name w:val="Szövegtörzs"/>
    <w:basedOn w:val="Normal"/>
    <w:qFormat/>
    <w:pPr>
      <w:spacing w:lineRule="auto" w:line="288" w:before="0" w:after="140"/>
    </w:pPr>
    <w:rPr/>
  </w:style>
  <w:style w:type="paragraph" w:styleId="Lista">
    <w:name w:val="Lista"/>
    <w:basedOn w:val="Szvegtrzs"/>
    <w:qFormat/>
    <w:pPr/>
    <w:rPr>
      <w:rFonts w:cs="FreeSans"/>
    </w:rPr>
  </w:style>
  <w:style w:type="paragraph" w:styleId="Felirat">
    <w:name w:val="Felirat"/>
    <w:basedOn w:val="Normal"/>
    <w:qFormat/>
    <w:pPr>
      <w:suppressLineNumbers/>
      <w:spacing w:before="120" w:after="120"/>
    </w:pPr>
    <w:rPr>
      <w:rFonts w:cs="FreeSans"/>
      <w:i/>
      <w:iCs/>
      <w:sz w:val="24"/>
      <w:szCs w:val="24"/>
    </w:rPr>
  </w:style>
  <w:style w:type="paragraph" w:styleId="Trgymutat">
    <w:name w:val="Tárgymutató"/>
    <w:basedOn w:val="Normal"/>
    <w:qFormat/>
    <w:pPr>
      <w:suppressLineNumbers/>
    </w:pPr>
    <w:rPr>
      <w:rFonts w:cs="FreeSans"/>
    </w:rPr>
  </w:style>
  <w:style w:type="paragraph" w:styleId="TextBody">
    <w:name w:val="Text Body"/>
    <w:basedOn w:val="Normal"/>
    <w:qFormat/>
    <w:pPr>
      <w:spacing w:lineRule="auto" w:line="288" w:before="0" w:after="140"/>
    </w:pPr>
    <w:rPr/>
  </w:style>
  <w:style w:type="paragraph" w:styleId="Szvegtrzs21">
    <w:name w:val="Szövegtörzs (2)"/>
    <w:basedOn w:val="Normal"/>
    <w:qFormat/>
    <w:pPr>
      <w:shd w:val="clear" w:fill="FFFFFF"/>
      <w:spacing w:lineRule="exact" w:line="306"/>
      <w:ind w:left="0" w:right="0" w:hanging="900"/>
      <w:jc w:val="both"/>
    </w:pPr>
    <w:rPr>
      <w:rFonts w:ascii="Segoe UI" w:hAnsi="Segoe UI" w:eastAsia="Segoe UI" w:cs="Segoe UI"/>
      <w:color w:val="00000A"/>
      <w:sz w:val="22"/>
      <w:szCs w:val="22"/>
      <w:lang w:eastAsia="en-US" w:bidi="ar-SA"/>
    </w:rPr>
  </w:style>
  <w:style w:type="paragraph" w:styleId="NoSpacing">
    <w:name w:val="No Spacing"/>
    <w:qFormat/>
    <w:pPr>
      <w:widowControl w:val="false"/>
      <w:overflowPunct w:val="true"/>
      <w:bidi w:val="0"/>
      <w:spacing w:lineRule="auto" w:line="240" w:before="0" w:after="0"/>
      <w:jc w:val="left"/>
    </w:pPr>
    <w:rPr>
      <w:rFonts w:ascii="Courier New" w:hAnsi="Courier New" w:eastAsia="Courier New" w:cs="Courier New"/>
      <w:color w:val="000000"/>
      <w:sz w:val="24"/>
      <w:szCs w:val="24"/>
      <w:lang w:val="ro-RO" w:eastAsia="ro-RO" w:bidi="ro-RO"/>
    </w:rPr>
  </w:style>
  <w:style w:type="paragraph" w:styleId="Cmsor3">
    <w:name w:val="Címsor #3"/>
    <w:basedOn w:val="Normal"/>
    <w:qFormat/>
    <w:pPr>
      <w:shd w:val="clear" w:color="auto" w:fill="FFFFFF"/>
      <w:spacing w:lineRule="exact" w:line="292" w:before="440" w:after="320"/>
      <w:ind w:hanging="360"/>
      <w:jc w:val="right"/>
      <w:outlineLvl w:val="2"/>
    </w:pPr>
    <w:rPr>
      <w:rFonts w:ascii="Segoe UI" w:hAnsi="Segoe UI" w:eastAsia="Segoe UI" w:cs="Segoe UI"/>
      <w:b/>
      <w:bCs/>
      <w:sz w:val="22"/>
      <w:szCs w:val="22"/>
    </w:rPr>
  </w:style>
  <w:style w:type="paragraph" w:styleId="Coninuttabel">
    <w:name w:val="Conținut tabel"/>
    <w:basedOn w:val="Normal"/>
    <w:qFormat/>
    <w:pPr/>
    <w:rPr/>
  </w:style>
  <w:style w:type="numbering" w:styleId="NoList">
    <w:name w:val="No List"/>
  </w:style>
  <w:style w:type="numbering" w:styleId="82403347992315458181">
    <w:name w:val="82403347992315458181"/>
  </w:style>
  <w:style w:type="numbering" w:styleId="WW8Num4">
    <w:name w:val="WW8Num4"/>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judetulharghita.ro/" TargetMode="Externa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1255</TotalTime>
  <Application>LibreOffice/5.0.3.2$Linux_X86_64 LibreOffice_project/00m0$Build-2</Application>
  <Paragraphs>55</Paragraphs>
  <Company>CONSILIUL JUDETEAN HARGHITA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2016-05-16T20:31:00Z</dcterms:created>
  <dc:creator>Urzica Dorina</dc:creator>
  <dc:language>ro-RO</dc:language>
  <cp:lastModifiedBy>Máté Tünde</cp:lastModifiedBy>
  <cp:lastPrinted>2020-06-17T10:09:11Z</cp:lastPrinted>
  <dcterms:modified xsi:type="dcterms:W3CDTF">2020-06-17T10:09:53Z</dcterms:modified>
  <cp:revision>143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CONSILIUL JUDETEAN HARGHITA</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